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3"/>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池河是淮河干流右岸一级支流，流经肥东、定远、凤阳和明光四县（市），在磨山入女山湖，河道全长182km，流域面积5021km2。池河石角桥以上为上游，石角桥至明光水文站为中游，明光水文站以下为下游。池河在定远三和集以上两岸基本无堤防，圩区主要分布于三和集以下的中、下游两岸，明光市区位于池河右岸明光圩内。。</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池河防洪治理工程的治理范围主要为石角桥～磨山河段，总长约90km，同时对江巷水库～石角桥段河道断面狭窄、严重阻碍行洪的部分河段进行适当治理。</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本工程的主要工程内容包括：疏浚定远县大桥镇上下游段河道3.23km；加固三和南圩、乌罗圩、沈湾圩等7处圩堤，总长26.55km；新建池河镇堤路结合段2.79km；新建防洪墙1.73km；新建护坡长3.98km、护岸长6.50km；填塘固基17.82万m³；新建防汛道路26.83km、新建上下堤道路19条。拆除重建山许闸、新建大桥镇翻板闸；拆除重建山许站、西高排涝站等共7座泵站；新建、拆除重建三和南涵、乌罗1涵、铁树银涵等18座排涝涵；拆除重建桥梁2座、新建桥梁5座。</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工程实施后，池河石角桥～磨山河段防洪保护区的防洪标准总体达到20年一遇，建成较为完善的防洪除涝减灾体系，保护流域内人民群众的生命财产安全，改善粮食生产条件，推动和保障区域经济发展。。</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本区构造单元属扬子准地台下，扬子地层分区的盱眙-滁县地层小区。从构造体系看，池河流域处于东部新华夏系第二沉降带与秦岭纬向构造带的复合部位，是中朝准地台的南缘。池河流域大地构造是以郯（城）庐（江）断裂带为界，池河流域以西构造单元为中朝准地台淮河台坳（Ⅰ1）的蚌埠台拱（Ⅰ12）、淮南陷褶束带（Ⅰ13），蚌埠台拱（Ⅰ12）内近东西向断层与北北东向断层均甚发育，而且成网格状展布。池河流域以东构造单元为扬子准地台淮阳台隆（Ⅲ1）张八岭台拱（Ⅲ11），池河下游入淮河段地质构造上位于淮阳山字型构造前弧东翼的北东端，淮阳山字型东翼第一隆起带与淮阳山字型东翼第一沉降带之间的过渡部分，池河-西山驿断裂几乎与池河干流平行，流域右侧属扬子准地台的张八岭台隆矮丘地区属断陷盆地，流域左侧为中朝准地台的定远褶束。池河-西山驿断裂为区域北北东向郯庐断裂带重要主干断层池（河）-太（湖）深断裂北段，从构造特征看，燕山期、喜山期以来断层经过多次不同性质活动，以压性、压扭性为主。</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根据《中国地震动参数区划图》（GB18306-2015），工程区域池河干流桩号143+234以上（明西街道以南）段地震动峰值加速度为0.10g，相应地震基本烈度为Ⅶ度。池河桩号143+234以下（明西街道、桥头镇、古沛镇等）女山段地震动峰值加速度为0.15g，相应地震基本烈度为Ⅶ度。</w:t>
      </w:r>
    </w:p>
    <w:p>
      <w:pPr>
        <w:pStyle w:val="2"/>
        <w:jc w:val="center"/>
        <w:rPr>
          <w:rFonts w:hint="eastAsia" w:eastAsia="仿宋"/>
          <w:b/>
          <w:bCs/>
          <w:sz w:val="28"/>
          <w:szCs w:val="28"/>
          <w:lang w:val="en-US" w:eastAsia="zh-CN"/>
        </w:rPr>
      </w:pPr>
      <w:r>
        <w:rPr>
          <w:rFonts w:hint="eastAsia" w:eastAsia="仿宋"/>
          <w:b/>
          <w:bCs/>
          <w:sz w:val="28"/>
          <w:szCs w:val="28"/>
          <w:lang w:val="en-US" w:eastAsia="zh-CN"/>
        </w:rPr>
        <w:t>建筑物规划设计规模/级别</w:t>
      </w:r>
    </w:p>
    <w:tbl>
      <w:tblPr>
        <w:tblStyle w:val="9"/>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40"/>
        <w:gridCol w:w="1139"/>
        <w:gridCol w:w="1509"/>
        <w:gridCol w:w="844"/>
        <w:gridCol w:w="219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5" w:hRule="atLeast"/>
          <w:tblHeader/>
        </w:trPr>
        <w:tc>
          <w:tcPr>
            <w:tcW w:w="1140"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b/>
                <w:i w:val="0"/>
                <w:color w:val="000000"/>
                <w:sz w:val="24"/>
                <w:szCs w:val="24"/>
                <w:u w:val="none"/>
                <w:lang w:val="en-US" w:eastAsia="zh-CN"/>
              </w:rPr>
            </w:pPr>
            <w:r>
              <w:rPr>
                <w:rFonts w:hint="eastAsia" w:ascii="Times New Roman" w:hAnsi="Times New Roman" w:eastAsia="宋体" w:cs="Times New Roman"/>
                <w:b/>
                <w:i w:val="0"/>
                <w:color w:val="000000"/>
                <w:sz w:val="24"/>
                <w:szCs w:val="24"/>
                <w:u w:val="none"/>
                <w:lang w:val="en-US" w:eastAsia="zh-CN"/>
              </w:rPr>
              <w:t>类别</w:t>
            </w:r>
          </w:p>
        </w:tc>
        <w:tc>
          <w:tcPr>
            <w:tcW w:w="113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b/>
                <w:i w:val="0"/>
                <w:color w:val="000000"/>
                <w:sz w:val="24"/>
                <w:szCs w:val="24"/>
                <w:u w:val="none"/>
              </w:rPr>
            </w:pPr>
            <w:r>
              <w:rPr>
                <w:rFonts w:hint="eastAsia" w:ascii="Times New Roman" w:hAnsi="Times New Roman" w:eastAsia="宋体" w:cs="Times New Roman"/>
                <w:b/>
                <w:i w:val="0"/>
                <w:color w:val="000000"/>
                <w:kern w:val="0"/>
                <w:sz w:val="24"/>
                <w:szCs w:val="24"/>
                <w:u w:val="none"/>
                <w:lang w:val="en-US" w:eastAsia="zh-CN" w:bidi="ar"/>
              </w:rPr>
              <w:t>种类</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b/>
                <w:i w:val="0"/>
                <w:color w:val="000000"/>
                <w:sz w:val="24"/>
                <w:szCs w:val="24"/>
                <w:u w:val="none"/>
                <w:lang w:val="en-US" w:eastAsia="zh-CN"/>
              </w:rPr>
            </w:pPr>
            <w:r>
              <w:rPr>
                <w:rFonts w:hint="eastAsia" w:ascii="Times New Roman" w:hAnsi="Times New Roman" w:eastAsia="宋体" w:cs="Times New Roman"/>
                <w:b/>
                <w:i w:val="0"/>
                <w:color w:val="000000"/>
                <w:sz w:val="24"/>
                <w:szCs w:val="24"/>
                <w:u w:val="none"/>
                <w:lang w:val="en-US" w:eastAsia="zh-CN"/>
              </w:rPr>
              <w:t>建设性质</w:t>
            </w:r>
          </w:p>
        </w:tc>
        <w:tc>
          <w:tcPr>
            <w:tcW w:w="844"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b/>
                <w:i w:val="0"/>
                <w:color w:val="000000"/>
                <w:sz w:val="24"/>
                <w:szCs w:val="24"/>
                <w:u w:val="none"/>
              </w:rPr>
            </w:pPr>
            <w:r>
              <w:rPr>
                <w:rFonts w:hint="eastAsia" w:ascii="Times New Roman" w:hAnsi="Times New Roman" w:eastAsia="宋体" w:cs="Times New Roman"/>
                <w:b/>
                <w:i w:val="0"/>
                <w:color w:val="000000"/>
                <w:kern w:val="0"/>
                <w:sz w:val="24"/>
                <w:szCs w:val="24"/>
                <w:u w:val="none"/>
                <w:lang w:val="en-US" w:eastAsia="zh-CN" w:bidi="ar"/>
              </w:rPr>
              <w:t>序号</w:t>
            </w:r>
          </w:p>
        </w:tc>
        <w:tc>
          <w:tcPr>
            <w:tcW w:w="219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b/>
                <w:i w:val="0"/>
                <w:color w:val="000000"/>
                <w:sz w:val="24"/>
                <w:szCs w:val="24"/>
                <w:u w:val="none"/>
              </w:rPr>
            </w:pPr>
            <w:r>
              <w:rPr>
                <w:rFonts w:hint="eastAsia" w:ascii="Times New Roman" w:hAnsi="Times New Roman" w:eastAsia="宋体" w:cs="Times New Roman"/>
                <w:b/>
                <w:i w:val="0"/>
                <w:color w:val="000000"/>
                <w:kern w:val="0"/>
                <w:sz w:val="24"/>
                <w:szCs w:val="24"/>
                <w:u w:val="none"/>
                <w:lang w:val="en-US" w:eastAsia="zh-CN" w:bidi="ar"/>
              </w:rPr>
              <w:t>名称</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b/>
                <w:i w:val="0"/>
                <w:color w:val="000000"/>
                <w:sz w:val="24"/>
                <w:szCs w:val="24"/>
                <w:u w:val="none"/>
                <w:lang w:val="en-US"/>
              </w:rPr>
            </w:pPr>
            <w:r>
              <w:rPr>
                <w:rFonts w:hint="default" w:ascii="Times New Roman" w:hAnsi="Times New Roman" w:eastAsia="宋体" w:cs="Times New Roman"/>
                <w:b/>
                <w:i w:val="0"/>
                <w:color w:val="000000"/>
                <w:kern w:val="0"/>
                <w:sz w:val="24"/>
                <w:szCs w:val="24"/>
                <w:u w:val="none"/>
                <w:lang w:val="en-US" w:eastAsia="zh-CN" w:bidi="ar"/>
              </w:rPr>
              <w:t>规模</w:t>
            </w:r>
            <w:r>
              <w:rPr>
                <w:rFonts w:hint="eastAsia" w:ascii="Times New Roman" w:hAnsi="Times New Roman" w:eastAsia="宋体" w:cs="Times New Roman"/>
                <w:b/>
                <w:i w:val="0"/>
                <w:color w:val="000000"/>
                <w:kern w:val="0"/>
                <w:sz w:val="24"/>
                <w:szCs w:val="24"/>
                <w:u w:val="none"/>
                <w:lang w:val="en-US" w:eastAsia="zh-CN" w:bidi="ar"/>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restart"/>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建筑物工程</w:t>
            </w:r>
          </w:p>
        </w:tc>
        <w:tc>
          <w:tcPr>
            <w:tcW w:w="1139" w:type="dxa"/>
            <w:vMerge w:val="restart"/>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排涝涵</w:t>
            </w:r>
          </w:p>
        </w:tc>
        <w:tc>
          <w:tcPr>
            <w:tcW w:w="1509" w:type="dxa"/>
            <w:vMerge w:val="restart"/>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新建</w:t>
            </w: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池河镇</w:t>
            </w:r>
            <w:r>
              <w:rPr>
                <w:rStyle w:val="19"/>
                <w:rFonts w:hint="default" w:ascii="Times New Roman" w:hAnsi="Times New Roman" w:eastAsia="宋体" w:cs="Times New Roman"/>
                <w:sz w:val="24"/>
                <w:szCs w:val="24"/>
                <w:lang w:val="en-US" w:eastAsia="zh-CN" w:bidi="ar"/>
              </w:rPr>
              <w:t>1</w:t>
            </w:r>
            <w:r>
              <w:rPr>
                <w:rStyle w:val="20"/>
                <w:rFonts w:hint="default" w:ascii="Times New Roman" w:hAnsi="Times New Roman" w:eastAsia="宋体" w:cs="Times New Roman"/>
                <w:sz w:val="24"/>
                <w:szCs w:val="24"/>
                <w:lang w:val="en-US" w:eastAsia="zh-CN" w:bidi="ar"/>
              </w:rPr>
              <w:t>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池河镇</w:t>
            </w:r>
            <w:r>
              <w:rPr>
                <w:rStyle w:val="19"/>
                <w:rFonts w:hint="default" w:ascii="Times New Roman" w:hAnsi="Times New Roman" w:eastAsia="宋体" w:cs="Times New Roman"/>
                <w:sz w:val="24"/>
                <w:szCs w:val="24"/>
                <w:lang w:val="en-US" w:eastAsia="zh-CN" w:bidi="ar"/>
              </w:rPr>
              <w:t>2</w:t>
            </w:r>
            <w:r>
              <w:rPr>
                <w:rStyle w:val="20"/>
                <w:rFonts w:hint="default" w:ascii="Times New Roman" w:hAnsi="Times New Roman" w:eastAsia="宋体" w:cs="Times New Roman"/>
                <w:sz w:val="24"/>
                <w:szCs w:val="24"/>
                <w:lang w:val="en-US" w:eastAsia="zh-CN" w:bidi="ar"/>
              </w:rPr>
              <w:t>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长蔡涵</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restart"/>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拆除重建</w:t>
            </w: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山岗圩</w:t>
            </w:r>
            <w:r>
              <w:rPr>
                <w:rStyle w:val="19"/>
                <w:rFonts w:hint="default" w:ascii="Times New Roman" w:hAnsi="Times New Roman" w:eastAsia="宋体" w:cs="Times New Roman"/>
                <w:sz w:val="24"/>
                <w:szCs w:val="24"/>
                <w:lang w:val="en-US" w:eastAsia="zh-CN" w:bidi="ar"/>
              </w:rPr>
              <w:t>1</w:t>
            </w:r>
            <w:r>
              <w:rPr>
                <w:rStyle w:val="20"/>
                <w:rFonts w:hint="default" w:ascii="Times New Roman" w:hAnsi="Times New Roman" w:eastAsia="宋体" w:cs="Times New Roman"/>
                <w:sz w:val="24"/>
                <w:szCs w:val="24"/>
                <w:lang w:val="en-US" w:eastAsia="zh-CN" w:bidi="ar"/>
              </w:rPr>
              <w:t>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山岗圩</w:t>
            </w:r>
            <w:r>
              <w:rPr>
                <w:rStyle w:val="19"/>
                <w:rFonts w:hint="default" w:ascii="Times New Roman" w:hAnsi="Times New Roman" w:eastAsia="宋体" w:cs="Times New Roman"/>
                <w:sz w:val="24"/>
                <w:szCs w:val="24"/>
                <w:lang w:val="en-US" w:eastAsia="zh-CN" w:bidi="ar"/>
              </w:rPr>
              <w:t>2</w:t>
            </w:r>
            <w:r>
              <w:rPr>
                <w:rStyle w:val="20"/>
                <w:rFonts w:hint="default" w:ascii="Times New Roman" w:hAnsi="Times New Roman" w:eastAsia="宋体" w:cs="Times New Roman"/>
                <w:sz w:val="24"/>
                <w:szCs w:val="24"/>
                <w:lang w:val="en-US" w:eastAsia="zh-CN" w:bidi="ar"/>
              </w:rPr>
              <w:t>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三和南涵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三和涵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三和北圩涵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铁树银涵</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后李涵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后代涵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东湾圩涵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乌罗</w:t>
            </w:r>
            <w:r>
              <w:rPr>
                <w:rStyle w:val="19"/>
                <w:rFonts w:hint="default" w:ascii="Times New Roman" w:hAnsi="Times New Roman" w:eastAsia="宋体" w:cs="Times New Roman"/>
                <w:sz w:val="24"/>
                <w:szCs w:val="24"/>
                <w:lang w:val="en-US" w:eastAsia="zh-CN" w:bidi="ar"/>
              </w:rPr>
              <w:t>1</w:t>
            </w:r>
            <w:r>
              <w:rPr>
                <w:rStyle w:val="20"/>
                <w:rFonts w:hint="default" w:ascii="Times New Roman" w:hAnsi="Times New Roman" w:eastAsia="宋体" w:cs="Times New Roman"/>
                <w:sz w:val="24"/>
                <w:szCs w:val="24"/>
                <w:lang w:val="en-US" w:eastAsia="zh-CN" w:bidi="ar"/>
              </w:rPr>
              <w:t>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乌罗涵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乌罗</w:t>
            </w:r>
            <w:r>
              <w:rPr>
                <w:rStyle w:val="19"/>
                <w:rFonts w:hint="default" w:ascii="Times New Roman" w:hAnsi="Times New Roman" w:eastAsia="宋体" w:cs="Times New Roman"/>
                <w:sz w:val="24"/>
                <w:szCs w:val="24"/>
                <w:lang w:val="en-US" w:eastAsia="zh-CN" w:bidi="ar"/>
              </w:rPr>
              <w:t>2</w:t>
            </w:r>
            <w:r>
              <w:rPr>
                <w:rStyle w:val="20"/>
                <w:rFonts w:hint="default" w:ascii="Times New Roman" w:hAnsi="Times New Roman" w:eastAsia="宋体" w:cs="Times New Roman"/>
                <w:sz w:val="24"/>
                <w:szCs w:val="24"/>
                <w:lang w:val="en-US" w:eastAsia="zh-CN" w:bidi="ar"/>
              </w:rPr>
              <w:t>涵</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下郢涵</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沈湾涵</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人民涵</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restart"/>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拦河闸</w:t>
            </w: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新建</w:t>
            </w: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大桥镇翻板闸</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拆除重建</w:t>
            </w: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山许闸</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Style w:val="21"/>
                <w:rFonts w:hint="default" w:ascii="Times New Roman" w:hAnsi="Times New Roman" w:eastAsia="宋体" w:cs="Times New Roman"/>
                <w:sz w:val="24"/>
                <w:szCs w:val="24"/>
                <w:lang w:val="en-US" w:eastAsia="zh-CN" w:bidi="ar"/>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restart"/>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泵站</w:t>
            </w:r>
          </w:p>
        </w:tc>
        <w:tc>
          <w:tcPr>
            <w:tcW w:w="1509" w:type="dxa"/>
            <w:vMerge w:val="restart"/>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拆除重建</w:t>
            </w: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小孙排涝站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w:t>
            </w:r>
            <w:r>
              <w:rPr>
                <w:rStyle w:val="22"/>
                <w:rFonts w:hint="default" w:ascii="Times New Roman" w:hAnsi="Times New Roman" w:eastAsia="宋体" w:cs="Times New Roman"/>
                <w:sz w:val="24"/>
                <w:szCs w:val="24"/>
                <w:lang w:val="en-US" w:eastAsia="zh-CN" w:bidi="ar"/>
              </w:rPr>
              <w:t>2</w:t>
            </w:r>
            <w:r>
              <w:rPr>
                <w:rStyle w:val="21"/>
                <w:rFonts w:hint="default" w:ascii="Times New Roman" w:hAnsi="Times New Roman" w:eastAsia="宋体" w:cs="Times New Roman"/>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西高排涝站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w:t>
            </w:r>
            <w:r>
              <w:rPr>
                <w:rStyle w:val="22"/>
                <w:rFonts w:hint="default" w:ascii="Times New Roman" w:hAnsi="Times New Roman" w:eastAsia="宋体" w:cs="Times New Roman"/>
                <w:sz w:val="24"/>
                <w:szCs w:val="24"/>
                <w:lang w:val="en-US" w:eastAsia="zh-CN" w:bidi="ar"/>
              </w:rPr>
              <w:t>2</w:t>
            </w:r>
            <w:r>
              <w:rPr>
                <w:rStyle w:val="21"/>
                <w:rFonts w:hint="default" w:ascii="Times New Roman" w:hAnsi="Times New Roman" w:eastAsia="宋体" w:cs="Times New Roman"/>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东高排涝站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w:t>
            </w:r>
            <w:r>
              <w:rPr>
                <w:rStyle w:val="22"/>
                <w:rFonts w:hint="default" w:ascii="Times New Roman" w:hAnsi="Times New Roman" w:eastAsia="宋体" w:cs="Times New Roman"/>
                <w:sz w:val="24"/>
                <w:szCs w:val="24"/>
                <w:lang w:val="en-US" w:eastAsia="zh-CN" w:bidi="ar"/>
              </w:rPr>
              <w:t>1</w:t>
            </w:r>
            <w:r>
              <w:rPr>
                <w:rStyle w:val="21"/>
                <w:rFonts w:hint="default" w:ascii="Times New Roman" w:hAnsi="Times New Roman" w:eastAsia="宋体" w:cs="Times New Roman"/>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山许站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沈湾灌溉</w:t>
            </w:r>
            <w:r>
              <w:rPr>
                <w:rStyle w:val="19"/>
                <w:rFonts w:hint="default" w:ascii="Times New Roman" w:hAnsi="Times New Roman" w:eastAsia="宋体" w:cs="Times New Roman"/>
                <w:sz w:val="24"/>
                <w:szCs w:val="24"/>
                <w:lang w:val="en-US" w:eastAsia="zh-CN" w:bidi="ar"/>
              </w:rPr>
              <w:t>1</w:t>
            </w:r>
            <w:r>
              <w:rPr>
                <w:rStyle w:val="20"/>
                <w:rFonts w:hint="default" w:ascii="Times New Roman" w:hAnsi="Times New Roman" w:eastAsia="宋体" w:cs="Times New Roman"/>
                <w:sz w:val="24"/>
                <w:szCs w:val="24"/>
                <w:lang w:val="en-US" w:eastAsia="zh-CN" w:bidi="ar"/>
              </w:rPr>
              <w:t>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w:t>
            </w:r>
            <w:r>
              <w:rPr>
                <w:rStyle w:val="22"/>
                <w:rFonts w:hint="default" w:ascii="Times New Roman" w:hAnsi="Times New Roman" w:eastAsia="宋体" w:cs="Times New Roman"/>
                <w:sz w:val="24"/>
                <w:szCs w:val="24"/>
                <w:lang w:val="en-US" w:eastAsia="zh-CN" w:bidi="ar"/>
              </w:rPr>
              <w:t>2</w:t>
            </w:r>
            <w:r>
              <w:rPr>
                <w:rStyle w:val="21"/>
                <w:rFonts w:hint="default" w:ascii="Times New Roman" w:hAnsi="Times New Roman" w:eastAsia="宋体" w:cs="Times New Roman"/>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auto"/>
                <w:sz w:val="24"/>
                <w:szCs w:val="24"/>
                <w:u w:val="none"/>
                <w:shd w:val="clear" w:color="auto" w:fill="auto"/>
              </w:rPr>
            </w:pPr>
            <w:r>
              <w:rPr>
                <w:rFonts w:hint="default" w:ascii="Times New Roman" w:hAnsi="Times New Roman" w:eastAsia="宋体" w:cs="Times New Roman"/>
                <w:i w:val="0"/>
                <w:color w:val="auto"/>
                <w:kern w:val="0"/>
                <w:sz w:val="24"/>
                <w:szCs w:val="24"/>
                <w:u w:val="none"/>
                <w:shd w:val="clear" w:color="auto" w:fill="auto"/>
                <w:lang w:val="en-US" w:eastAsia="zh-CN" w:bidi="ar"/>
              </w:rPr>
              <w:t>沈湾灌溉</w:t>
            </w:r>
            <w:r>
              <w:rPr>
                <w:rStyle w:val="19"/>
                <w:rFonts w:hint="default" w:ascii="Times New Roman" w:hAnsi="Times New Roman" w:eastAsia="宋体" w:cs="Times New Roman"/>
                <w:color w:val="auto"/>
                <w:sz w:val="24"/>
                <w:szCs w:val="24"/>
                <w:shd w:val="clear" w:color="auto" w:fill="auto"/>
                <w:lang w:val="en-US" w:eastAsia="zh-CN" w:bidi="ar"/>
              </w:rPr>
              <w:t>2</w:t>
            </w:r>
            <w:r>
              <w:rPr>
                <w:rStyle w:val="20"/>
                <w:rFonts w:hint="default" w:ascii="Times New Roman" w:hAnsi="Times New Roman" w:eastAsia="宋体" w:cs="Times New Roman"/>
                <w:color w:val="auto"/>
                <w:sz w:val="24"/>
                <w:szCs w:val="24"/>
                <w:shd w:val="clear" w:color="auto" w:fill="auto"/>
                <w:lang w:val="en-US" w:eastAsia="zh-CN" w:bidi="ar"/>
              </w:rPr>
              <w:t>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auto"/>
                <w:sz w:val="24"/>
                <w:szCs w:val="24"/>
                <w:u w:val="none"/>
                <w:shd w:val="clear" w:color="auto" w:fill="auto"/>
              </w:rPr>
            </w:pPr>
            <w:r>
              <w:rPr>
                <w:rFonts w:hint="default" w:ascii="Times New Roman" w:hAnsi="Times New Roman" w:eastAsia="宋体" w:cs="Times New Roman"/>
                <w:i w:val="0"/>
                <w:color w:val="auto"/>
                <w:kern w:val="0"/>
                <w:sz w:val="24"/>
                <w:szCs w:val="24"/>
                <w:u w:val="none"/>
                <w:shd w:val="clear" w:color="auto" w:fill="auto"/>
                <w:lang w:val="en-US" w:eastAsia="zh-CN" w:bidi="ar"/>
              </w:rPr>
              <w:t>小（</w:t>
            </w:r>
            <w:r>
              <w:rPr>
                <w:rStyle w:val="22"/>
                <w:rFonts w:hint="default" w:ascii="Times New Roman" w:hAnsi="Times New Roman" w:eastAsia="宋体" w:cs="Times New Roman"/>
                <w:color w:val="auto"/>
                <w:sz w:val="24"/>
                <w:szCs w:val="24"/>
                <w:shd w:val="clear" w:color="auto" w:fill="auto"/>
                <w:lang w:val="en-US" w:eastAsia="zh-CN" w:bidi="ar"/>
              </w:rPr>
              <w:t>2</w:t>
            </w:r>
            <w:r>
              <w:rPr>
                <w:rStyle w:val="21"/>
                <w:rFonts w:hint="default" w:ascii="Times New Roman" w:hAnsi="Times New Roman" w:eastAsia="宋体" w:cs="Times New Roman"/>
                <w:color w:val="auto"/>
                <w:sz w:val="24"/>
                <w:szCs w:val="24"/>
                <w:shd w:val="clear" w:color="auto" w:fill="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auto"/>
                <w:sz w:val="24"/>
                <w:szCs w:val="24"/>
                <w:u w:val="none"/>
                <w:shd w:val="clear" w:color="auto" w:fill="auto"/>
              </w:rPr>
            </w:pPr>
            <w:r>
              <w:rPr>
                <w:rFonts w:hint="default" w:ascii="Times New Roman" w:hAnsi="Times New Roman" w:eastAsia="宋体" w:cs="Times New Roman"/>
                <w:i w:val="0"/>
                <w:color w:val="auto"/>
                <w:kern w:val="0"/>
                <w:sz w:val="24"/>
                <w:szCs w:val="24"/>
                <w:u w:val="none"/>
                <w:shd w:val="clear" w:color="auto" w:fill="auto"/>
                <w:lang w:val="en-US" w:eastAsia="zh-CN" w:bidi="ar"/>
              </w:rPr>
              <w:t>人民排涝站</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auto"/>
                <w:sz w:val="24"/>
                <w:szCs w:val="24"/>
                <w:u w:val="none"/>
                <w:shd w:val="clear" w:color="auto" w:fill="auto"/>
              </w:rPr>
            </w:pPr>
            <w:r>
              <w:rPr>
                <w:rFonts w:hint="default" w:ascii="Times New Roman" w:hAnsi="Times New Roman" w:eastAsia="宋体" w:cs="Times New Roman"/>
                <w:i w:val="0"/>
                <w:color w:val="auto"/>
                <w:kern w:val="0"/>
                <w:sz w:val="24"/>
                <w:szCs w:val="24"/>
                <w:u w:val="none"/>
                <w:shd w:val="clear" w:color="auto" w:fill="auto"/>
                <w:lang w:val="en-US" w:eastAsia="zh-CN" w:bidi="ar"/>
              </w:rPr>
              <w:t>小（</w:t>
            </w:r>
            <w:r>
              <w:rPr>
                <w:rStyle w:val="23"/>
                <w:rFonts w:hint="default" w:ascii="Times New Roman" w:hAnsi="Times New Roman" w:eastAsia="宋体" w:cs="Times New Roman"/>
                <w:color w:val="auto"/>
                <w:sz w:val="24"/>
                <w:szCs w:val="24"/>
                <w:shd w:val="clear" w:color="auto" w:fill="auto"/>
                <w:lang w:val="en-US" w:eastAsia="zh-CN" w:bidi="ar"/>
              </w:rPr>
              <w:t>1</w:t>
            </w:r>
            <w:r>
              <w:rPr>
                <w:rStyle w:val="24"/>
                <w:rFonts w:hint="default" w:ascii="Times New Roman" w:hAnsi="Times New Roman" w:eastAsia="宋体" w:cs="Times New Roman"/>
                <w:color w:val="auto"/>
                <w:sz w:val="24"/>
                <w:szCs w:val="24"/>
                <w:shd w:val="clear" w:color="auto" w:fill="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restart"/>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桥梁</w:t>
            </w:r>
          </w:p>
        </w:tc>
        <w:tc>
          <w:tcPr>
            <w:tcW w:w="1509" w:type="dxa"/>
            <w:vMerge w:val="restart"/>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拆除重建</w:t>
            </w: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周何桥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官塘刘桥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restart"/>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新建</w:t>
            </w:r>
          </w:p>
        </w:tc>
        <w:tc>
          <w:tcPr>
            <w:tcW w:w="844"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95"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三和南圩桥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坝西桥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大滩桥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曹庄桥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140" w:type="dxa"/>
            <w:vMerge w:val="continue"/>
            <w:shd w:val="clear" w:color="000000"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13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509" w:type="dxa"/>
            <w:vMerge w:val="continue"/>
            <w:shd w:val="clear" w:color="000000"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844" w:type="dxa"/>
            <w:shd w:val="clear" w:color="000000"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195" w:type="dxa"/>
            <w:shd w:val="clear" w:color="000000"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蔡岗桥</w:t>
            </w:r>
          </w:p>
        </w:tc>
        <w:tc>
          <w:tcPr>
            <w:tcW w:w="1509"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w:t>
            </w:r>
          </w:p>
        </w:tc>
      </w:tr>
    </w:tbl>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leftChars="0" w:firstLine="0" w:firstLineChars="0"/>
        <w:textAlignment w:val="auto"/>
        <w:rPr>
          <w:rFonts w:hint="default" w:ascii="Times New Roman" w:hAnsi="Times New Roman" w:cs="Times New Roman"/>
          <w:spacing w:val="0"/>
          <w:szCs w:val="20"/>
          <w:highlight w:val="none"/>
          <w:lang w:val="zh-CN" w:eastAsia="zh-CN"/>
        </w:rPr>
      </w:pPr>
    </w:p>
    <w:p>
      <w:pPr>
        <w:pStyle w:val="3"/>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w:t>
      </w:r>
      <w:r>
        <w:rPr>
          <w:rFonts w:hint="eastAsia" w:ascii="Times New Roman" w:hAnsi="Times New Roman" w:cs="Times New Roman"/>
          <w:spacing w:val="0"/>
          <w:highlight w:val="none"/>
          <w:lang w:val="en-US" w:eastAsia="zh-CN"/>
        </w:rPr>
        <w:t>池河防洪治理</w:t>
      </w:r>
      <w:r>
        <w:rPr>
          <w:rFonts w:hint="eastAsia" w:ascii="Times New Roman" w:hAnsi="Times New Roman" w:eastAsia="宋体" w:cs="Times New Roman"/>
          <w:spacing w:val="0"/>
          <w:highlight w:val="none"/>
          <w:lang w:val="zh-CN" w:eastAsia="zh-CN"/>
        </w:rPr>
        <w:t>工程</w:t>
      </w:r>
      <w:r>
        <w:rPr>
          <w:rFonts w:hint="eastAsia" w:ascii="Times New Roman" w:hAnsi="Times New Roman" w:cs="Times New Roman"/>
          <w:spacing w:val="0"/>
          <w:highlight w:val="none"/>
          <w:lang w:val="en-US" w:eastAsia="zh-CN"/>
        </w:rPr>
        <w:t>地震安全性评价</w:t>
      </w:r>
      <w:r>
        <w:rPr>
          <w:rFonts w:hint="eastAsia" w:ascii="Times New Roman" w:hAnsi="Times New Roman" w:eastAsia="宋体" w:cs="Times New Roman"/>
          <w:spacing w:val="0"/>
          <w:highlight w:val="none"/>
          <w:lang w:val="zh-CN" w:eastAsia="zh-CN"/>
        </w:rPr>
        <w:t>报告，参加专家评审会并按评审意见及时修改、完善，2022年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w:t>
      </w:r>
      <w:r>
        <w:rPr>
          <w:rFonts w:hint="eastAsia" w:ascii="Times New Roman" w:hAnsi="Times New Roman" w:eastAsia="宋体" w:cs="Times New Roman"/>
          <w:spacing w:val="0"/>
          <w:highlight w:val="none"/>
          <w:lang w:val="zh-CN" w:eastAsia="zh-CN"/>
        </w:rPr>
        <w:t>。</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w:t>
      </w:r>
      <w:r>
        <w:rPr>
          <w:rFonts w:hint="eastAsia" w:ascii="Times New Roman" w:hAnsi="Times New Roman" w:cs="Times New Roman"/>
          <w:spacing w:val="0"/>
          <w:highlight w:val="none"/>
          <w:lang w:val="en-US" w:eastAsia="zh-CN"/>
        </w:rPr>
        <w:t>池河防洪治理</w:t>
      </w:r>
      <w:r>
        <w:rPr>
          <w:rFonts w:hint="eastAsia" w:ascii="Times New Roman" w:hAnsi="Times New Roman" w:eastAsia="宋体" w:cs="Times New Roman"/>
          <w:spacing w:val="0"/>
          <w:highlight w:val="none"/>
          <w:lang w:val="zh-CN" w:eastAsia="zh-CN"/>
        </w:rPr>
        <w:t>工程</w:t>
      </w:r>
      <w:bookmarkStart w:id="1" w:name="_GoBack"/>
      <w:bookmarkEnd w:id="1"/>
      <w:r>
        <w:rPr>
          <w:rFonts w:hint="eastAsia" w:ascii="Times New Roman" w:hAnsi="Times New Roman" w:eastAsia="宋体" w:cs="Times New Roman"/>
          <w:spacing w:val="0"/>
          <w:highlight w:val="none"/>
          <w:lang w:val="zh-CN" w:eastAsia="zh-CN"/>
        </w:rPr>
        <w:t>可行性研究报告批复。</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3、报告必须符合国家有关的规划、政策、法规规定，内容深度必须达到国家和行业规定的标准，基本内容要完整。</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4、服务单位必须站在客观公正的立场进行调查研究，做好基础资料的收集工作。对于收集的基础资料，要按照客观实际情况进行论证评价，如实地反映客观经济规律，从客观数据出发，通过科学分析，得出结论。</w:t>
      </w:r>
    </w:p>
    <w:p>
      <w:pPr>
        <w:pStyle w:val="14"/>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B38279C"/>
    <w:rsid w:val="1E851DDC"/>
    <w:rsid w:val="26867B60"/>
    <w:rsid w:val="279B25A8"/>
    <w:rsid w:val="2C22715E"/>
    <w:rsid w:val="2CE45513"/>
    <w:rsid w:val="2D456E30"/>
    <w:rsid w:val="390F16EF"/>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44E005F"/>
    <w:rsid w:val="7ACC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5"/>
      <w:ind w:left="112"/>
      <w:outlineLvl w:val="0"/>
    </w:pPr>
    <w:rPr>
      <w:b/>
      <w:bCs/>
      <w:sz w:val="28"/>
      <w:szCs w:val="28"/>
    </w:rPr>
  </w:style>
  <w:style w:type="paragraph" w:styleId="4">
    <w:name w:val="heading 2"/>
    <w:basedOn w:val="1"/>
    <w:next w:val="5"/>
    <w:qFormat/>
    <w:uiPriority w:val="1"/>
    <w:pPr>
      <w:spacing w:before="55"/>
      <w:ind w:left="112"/>
      <w:outlineLvl w:val="1"/>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rPr>
      <w:bCs/>
      <w:color w:val="000000"/>
    </w:rPr>
  </w:style>
  <w:style w:type="paragraph" w:styleId="5">
    <w:name w:val="Normal Indent"/>
    <w:basedOn w:val="1"/>
    <w:qFormat/>
    <w:uiPriority w:val="0"/>
    <w:pPr>
      <w:ind w:firstLine="420" w:firstLineChars="200"/>
    </w:pPr>
  </w:style>
  <w:style w:type="paragraph" w:styleId="6">
    <w:name w:val="Body Text"/>
    <w:basedOn w:val="1"/>
    <w:next w:val="1"/>
    <w:qFormat/>
    <w:uiPriority w:val="1"/>
    <w:pPr>
      <w:spacing w:before="160"/>
      <w:ind w:left="593"/>
    </w:pPr>
    <w:rPr>
      <w:sz w:val="24"/>
      <w:szCs w:val="24"/>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2"/>
      <w:ind w:left="1194" w:hanging="602"/>
    </w:pPr>
  </w:style>
  <w:style w:type="paragraph" w:customStyle="1" w:styleId="14">
    <w:name w:val="样式 小四 行距: 1.5 倍行距1"/>
    <w:basedOn w:val="1"/>
    <w:qFormat/>
    <w:uiPriority w:val="0"/>
    <w:pPr>
      <w:snapToGrid w:val="0"/>
      <w:spacing w:line="360" w:lineRule="auto"/>
      <w:ind w:firstLine="512" w:firstLineChars="200"/>
    </w:pPr>
    <w:rPr>
      <w:spacing w:val="8"/>
      <w:sz w:val="24"/>
    </w:rPr>
  </w:style>
  <w:style w:type="character" w:customStyle="1" w:styleId="15">
    <w:name w:val="页眉 字符"/>
    <w:basedOn w:val="10"/>
    <w:link w:val="8"/>
    <w:qFormat/>
    <w:uiPriority w:val="0"/>
    <w:rPr>
      <w:rFonts w:ascii="宋体" w:hAnsi="宋体" w:eastAsia="宋体" w:cs="宋体"/>
      <w:sz w:val="18"/>
      <w:szCs w:val="18"/>
      <w:lang w:val="zh-CN" w:bidi="zh-CN"/>
    </w:rPr>
  </w:style>
  <w:style w:type="character" w:customStyle="1" w:styleId="16">
    <w:name w:val="页脚 字符"/>
    <w:basedOn w:val="10"/>
    <w:link w:val="7"/>
    <w:qFormat/>
    <w:uiPriority w:val="0"/>
    <w:rPr>
      <w:rFonts w:ascii="宋体" w:hAnsi="宋体" w:eastAsia="宋体" w:cs="宋体"/>
      <w:sz w:val="18"/>
      <w:szCs w:val="18"/>
      <w:lang w:val="zh-CN" w:bidi="zh-CN"/>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
    <w:basedOn w:val="1"/>
    <w:qFormat/>
    <w:uiPriority w:val="0"/>
    <w:pPr>
      <w:keepNext/>
      <w:keepLines/>
      <w:adjustRightInd w:val="0"/>
      <w:ind w:firstLine="0" w:firstLineChars="0"/>
      <w:outlineLvl w:val="2"/>
    </w:pPr>
    <w:rPr>
      <w:rFonts w:eastAsia="黑体"/>
      <w:bCs/>
      <w:snapToGrid w:val="0"/>
      <w:kern w:val="0"/>
      <w:sz w:val="28"/>
      <w:szCs w:val="28"/>
    </w:rPr>
  </w:style>
  <w:style w:type="character" w:customStyle="1" w:styleId="19">
    <w:name w:val="font61"/>
    <w:basedOn w:val="10"/>
    <w:qFormat/>
    <w:uiPriority w:val="0"/>
    <w:rPr>
      <w:rFonts w:hint="default" w:ascii="Times New Roman" w:hAnsi="Times New Roman" w:cs="Times New Roman"/>
      <w:color w:val="000000"/>
      <w:sz w:val="21"/>
      <w:szCs w:val="21"/>
      <w:u w:val="none"/>
    </w:rPr>
  </w:style>
  <w:style w:type="character" w:customStyle="1" w:styleId="20">
    <w:name w:val="font51"/>
    <w:basedOn w:val="10"/>
    <w:qFormat/>
    <w:uiPriority w:val="0"/>
    <w:rPr>
      <w:rFonts w:hint="eastAsia" w:ascii="宋体" w:hAnsi="宋体" w:eastAsia="宋体" w:cs="宋体"/>
      <w:color w:val="000000"/>
      <w:sz w:val="21"/>
      <w:szCs w:val="21"/>
      <w:u w:val="none"/>
    </w:rPr>
  </w:style>
  <w:style w:type="character" w:customStyle="1" w:styleId="21">
    <w:name w:val="font91"/>
    <w:basedOn w:val="10"/>
    <w:qFormat/>
    <w:uiPriority w:val="0"/>
    <w:rPr>
      <w:rFonts w:hint="eastAsia" w:ascii="宋体" w:hAnsi="宋体" w:eastAsia="宋体" w:cs="宋体"/>
      <w:color w:val="000000"/>
      <w:sz w:val="24"/>
      <w:szCs w:val="24"/>
      <w:u w:val="none"/>
    </w:rPr>
  </w:style>
  <w:style w:type="character" w:customStyle="1" w:styleId="22">
    <w:name w:val="font81"/>
    <w:basedOn w:val="10"/>
    <w:qFormat/>
    <w:uiPriority w:val="0"/>
    <w:rPr>
      <w:rFonts w:hint="default" w:ascii="Times New Roman" w:hAnsi="Times New Roman" w:cs="Times New Roman"/>
      <w:color w:val="000000"/>
      <w:sz w:val="24"/>
      <w:szCs w:val="24"/>
      <w:u w:val="none"/>
    </w:rPr>
  </w:style>
  <w:style w:type="character" w:customStyle="1" w:styleId="23">
    <w:name w:val="font111"/>
    <w:basedOn w:val="10"/>
    <w:qFormat/>
    <w:uiPriority w:val="0"/>
    <w:rPr>
      <w:rFonts w:hint="default" w:ascii="Times New Roman" w:hAnsi="Times New Roman" w:cs="Times New Roman"/>
      <w:color w:val="FF0000"/>
      <w:sz w:val="24"/>
      <w:szCs w:val="24"/>
      <w:u w:val="none"/>
    </w:rPr>
  </w:style>
  <w:style w:type="character" w:customStyle="1" w:styleId="24">
    <w:name w:val="font101"/>
    <w:basedOn w:val="1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881</Words>
  <Characters>1019</Characters>
  <Lines>17</Lines>
  <Paragraphs>4</Paragraphs>
  <TotalTime>0</TotalTime>
  <ScaleCrop>false</ScaleCrop>
  <LinksUpToDate>false</LinksUpToDate>
  <CharactersWithSpaces>1021</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晓梦化蝶</cp:lastModifiedBy>
  <cp:lastPrinted>2022-06-20T02:33:00Z</cp:lastPrinted>
  <dcterms:modified xsi:type="dcterms:W3CDTF">2022-10-28T07:58:05Z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2052-11.1.0.9914</vt:lpwstr>
  </property>
  <property fmtid="{D5CDD505-2E9C-101B-9397-08002B2CF9AE}" pid="6" name="ICV">
    <vt:lpwstr>527ED0BE15C74FF7B5115EFDAA8E8CFD</vt:lpwstr>
  </property>
</Properties>
</file>