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en-US" w:eastAsia="zh-CN"/>
        </w:rPr>
        <w:t>怀洪新河治理</w:t>
      </w:r>
      <w:r>
        <w:rPr>
          <w:rFonts w:hint="default" w:ascii="Times New Roman" w:hAnsi="Times New Roman" w:cs="Times New Roman"/>
          <w:b/>
          <w:sz w:val="28"/>
          <w:szCs w:val="28"/>
        </w:rPr>
        <w:t>工程环境影响报告书外委业务采购需求</w:t>
      </w:r>
    </w:p>
    <w:p>
      <w:pPr>
        <w:rPr>
          <w:rFonts w:hint="default" w:ascii="Times New Roman" w:hAnsi="Times New Roman" w:cs="Times New Roman"/>
        </w:rPr>
      </w:pPr>
    </w:p>
    <w:p>
      <w:pPr>
        <w:spacing w:line="360" w:lineRule="auto"/>
        <w:outlineLvl w:val="0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环境质量现状监测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根据有关环评技术导则要求，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《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怀洪新河治理工程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环境影响报告书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》</w:t>
      </w:r>
      <w:r>
        <w:rPr>
          <w:rFonts w:hint="default" w:ascii="Times New Roman" w:hAnsi="Times New Roman" w:cs="Times New Roman"/>
          <w:sz w:val="24"/>
          <w:szCs w:val="24"/>
        </w:rPr>
        <w:t>需开展（水、气、声、土等）环境要素环境质量现状监测工作，该工作需委托</w:t>
      </w:r>
      <w:bookmarkStart w:id="0" w:name="_GoBack"/>
      <w:r>
        <w:rPr>
          <w:rFonts w:hint="default" w:ascii="Times New Roman" w:hAnsi="Times New Roman" w:cs="Times New Roman"/>
          <w:sz w:val="24"/>
          <w:szCs w:val="24"/>
        </w:rPr>
        <w:t>具有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CMA</w:t>
      </w:r>
      <w:r>
        <w:rPr>
          <w:rFonts w:hint="default" w:ascii="Times New Roman" w:hAnsi="Times New Roman" w:cs="Times New Roman"/>
          <w:sz w:val="24"/>
          <w:szCs w:val="24"/>
        </w:rPr>
        <w:t>资质</w:t>
      </w:r>
      <w:bookmarkEnd w:id="0"/>
      <w:r>
        <w:rPr>
          <w:rFonts w:hint="default" w:ascii="Times New Roman" w:hAnsi="Times New Roman" w:cs="Times New Roman"/>
          <w:sz w:val="24"/>
          <w:szCs w:val="24"/>
        </w:rPr>
        <w:t>的监测单位完成。环境质量现状监测方案详见附件2。</w:t>
      </w:r>
    </w:p>
    <w:p>
      <w:pPr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line="360" w:lineRule="auto"/>
        <w:outlineLvl w:val="0"/>
        <w:rPr>
          <w:rFonts w:hint="default" w:ascii="Times New Roman" w:hAnsi="Times New Roman" w:cs="Times New Roman"/>
          <w:b/>
          <w:sz w:val="24"/>
          <w:szCs w:val="28"/>
        </w:rPr>
      </w:pPr>
      <w:r>
        <w:rPr>
          <w:rFonts w:hint="default" w:ascii="Times New Roman" w:hAnsi="Times New Roman" w:cs="Times New Roman"/>
          <w:b/>
          <w:sz w:val="24"/>
          <w:szCs w:val="28"/>
        </w:rPr>
        <w:t>附件2：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（一）环境空气质量现状监测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1.监测因子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SO</w:t>
      </w:r>
      <w:r>
        <w:rPr>
          <w:rFonts w:hint="default" w:ascii="Times New Roman" w:hAnsi="Times New Roman" w:cs="Times New Roman"/>
          <w:sz w:val="24"/>
          <w:vertAlign w:val="subscript"/>
        </w:rPr>
        <w:t>2</w:t>
      </w:r>
      <w:r>
        <w:rPr>
          <w:rFonts w:hint="default" w:ascii="Times New Roman" w:hAnsi="Times New Roman" w:cs="Times New Roman"/>
          <w:sz w:val="24"/>
        </w:rPr>
        <w:t>、NO</w:t>
      </w:r>
      <w:r>
        <w:rPr>
          <w:rFonts w:hint="default" w:ascii="Times New Roman" w:hAnsi="Times New Roman" w:cs="Times New Roman"/>
          <w:sz w:val="24"/>
          <w:vertAlign w:val="subscript"/>
        </w:rPr>
        <w:t>2</w:t>
      </w:r>
      <w:r>
        <w:rPr>
          <w:rFonts w:hint="default" w:ascii="Times New Roman" w:hAnsi="Times New Roman" w:cs="Times New Roman"/>
          <w:sz w:val="24"/>
        </w:rPr>
        <w:t>、TSP、PM</w:t>
      </w:r>
      <w:r>
        <w:rPr>
          <w:rFonts w:hint="default" w:ascii="Times New Roman" w:hAnsi="Times New Roman" w:cs="Times New Roman"/>
          <w:sz w:val="24"/>
          <w:vertAlign w:val="subscript"/>
        </w:rPr>
        <w:t>10</w:t>
      </w:r>
      <w:r>
        <w:rPr>
          <w:rFonts w:hint="default" w:ascii="Times New Roman" w:hAnsi="Times New Roman" w:cs="Times New Roman"/>
          <w:sz w:val="24"/>
        </w:rPr>
        <w:t>、PM</w:t>
      </w:r>
      <w:r>
        <w:rPr>
          <w:rFonts w:hint="default" w:ascii="Times New Roman" w:hAnsi="Times New Roman" w:cs="Times New Roman"/>
          <w:sz w:val="24"/>
          <w:vertAlign w:val="subscript"/>
        </w:rPr>
        <w:t>2.5</w:t>
      </w:r>
      <w:r>
        <w:rPr>
          <w:rFonts w:hint="default" w:ascii="Times New Roman" w:hAnsi="Times New Roman" w:cs="Times New Roman"/>
          <w:sz w:val="24"/>
        </w:rPr>
        <w:t>；同时观测风向、风速、气压、气温等常规气象要素。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2.监测频次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202</w:t>
      </w:r>
      <w:r>
        <w:rPr>
          <w:rFonts w:hint="default" w:ascii="Times New Roman" w:hAnsi="Times New Roman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年</w:t>
      </w:r>
      <w:r>
        <w:rPr>
          <w:rFonts w:hint="default" w:ascii="Times New Roman" w:hAnsi="Times New Roman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>月，连续7天，日平均浓度、小时浓度监测值应符合GB3095对数据有效性的规定。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3、监测和分析方法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监测及分析方法均按照国家环保局《环境监测技术规范》、《环境监测分析方法》和《环境空气质量标准》（GB3095-2012）要求的方法进行。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4、监测点位</w:t>
      </w:r>
    </w:p>
    <w:p>
      <w:pPr>
        <w:spacing w:line="360" w:lineRule="auto"/>
        <w:ind w:firstLine="482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根据环境影响评价技术导则，按照环境功能区为主兼顾均布性，监测点监测期间的主导风向确定，在评价范围内共布设了</w:t>
      </w:r>
      <w:r>
        <w:rPr>
          <w:rFonts w:hint="eastAsia" w:ascii="Times New Roman" w:hAnsi="Times New Roman" w:cs="Times New Roman"/>
          <w:sz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</w:rPr>
        <w:t>个现状监测点，详见附图1。各监测点位名称及与拟建项目相对方位、距离见表1。</w:t>
      </w:r>
    </w:p>
    <w:p>
      <w:pPr>
        <w:spacing w:line="300" w:lineRule="auto"/>
        <w:ind w:firstLine="1928" w:firstLineChars="800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 xml:space="preserve">表1  </w:t>
      </w:r>
      <w:r>
        <w:rPr>
          <w:rFonts w:hint="default" w:ascii="Times New Roman" w:hAnsi="Times New Roman" w:cs="Times New Roman"/>
          <w:b/>
          <w:sz w:val="24"/>
        </w:rPr>
        <w:t>大气环境现状监测点布设方案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365"/>
        <w:gridCol w:w="1100"/>
        <w:gridCol w:w="1530"/>
        <w:gridCol w:w="1050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测点序号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监测点位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方位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工程内容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环境功能</w:t>
            </w:r>
          </w:p>
        </w:tc>
        <w:tc>
          <w:tcPr>
            <w:tcW w:w="270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监测因子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G1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前瓦房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NE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NR</w:t>
            </w:r>
            <w:r>
              <w:rPr>
                <w:rFonts w:hint="default" w:ascii="Times New Roman" w:hAnsi="Times New Roman" w:cs="Times New Roman"/>
                <w:szCs w:val="21"/>
                <w:lang w:eastAsia="zh-CN"/>
              </w:rPr>
              <w:t>）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</w:rPr>
              <w:t>青二截水沟自排涵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居民点</w:t>
            </w:r>
          </w:p>
        </w:tc>
        <w:tc>
          <w:tcPr>
            <w:tcW w:w="270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SO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、NO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监测小时浓度和日均浓度；PM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</w:rPr>
              <w:t>10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、PM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vertAlign w:val="subscript"/>
              </w:rPr>
              <w:t>10</w:t>
            </w: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、TSP监测日均浓度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G2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新庄村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2#排泥场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居民点</w:t>
            </w:r>
          </w:p>
        </w:tc>
        <w:tc>
          <w:tcPr>
            <w:tcW w:w="27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G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3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高钱吴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WS(NR)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5#排泥场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居民点</w:t>
            </w:r>
          </w:p>
        </w:tc>
        <w:tc>
          <w:tcPr>
            <w:tcW w:w="27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0" w:type="auto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</w:rPr>
              <w:t>G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4</w:t>
            </w:r>
          </w:p>
        </w:tc>
        <w:tc>
          <w:tcPr>
            <w:tcW w:w="1365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潘圩小学</w:t>
            </w:r>
          </w:p>
        </w:tc>
        <w:tc>
          <w:tcPr>
            <w:tcW w:w="110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W</w:t>
            </w:r>
          </w:p>
        </w:tc>
        <w:tc>
          <w:tcPr>
            <w:tcW w:w="153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33#排泥场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Cs w:val="21"/>
                <w:lang w:val="en-US" w:eastAsia="zh-CN"/>
              </w:rPr>
              <w:t>学校</w:t>
            </w:r>
          </w:p>
        </w:tc>
        <w:tc>
          <w:tcPr>
            <w:tcW w:w="27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（二）地表水环境质量现状监测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1.监测因子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szCs w:val="24"/>
        </w:rPr>
        <w:t>pH、溶解氧、</w:t>
      </w:r>
      <w:r>
        <w:rPr>
          <w:rFonts w:hint="default" w:ascii="Times New Roman" w:hAnsi="Times New Roman" w:cs="Times New Roman"/>
          <w:sz w:val="24"/>
        </w:rPr>
        <w:t>高锰酸盐指数、化学需氧量、五日生化需氧量、氨氮、总磷、铜、锌、氟化物（以F-计）、硒、砷、汞、镉、铬（六价）、铅、氰化物、挥发酚、石油类、阴离子表面活性剂、硫化物、粪大肠菌群等22项，水温、总氮不参评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2.监测频次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202</w:t>
      </w:r>
      <w:r>
        <w:rPr>
          <w:rFonts w:hint="default" w:ascii="Times New Roman" w:hAnsi="Times New Roman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年枯</w:t>
      </w:r>
      <w:r>
        <w:rPr>
          <w:rFonts w:hint="eastAsia" w:ascii="Times New Roman" w:hAnsi="Times New Roman" w:cs="Times New Roman"/>
          <w:sz w:val="24"/>
          <w:lang w:eastAsia="zh-CN"/>
        </w:rPr>
        <w:t>、</w:t>
      </w:r>
      <w:r>
        <w:rPr>
          <w:rFonts w:hint="eastAsia" w:ascii="Times New Roman" w:hAnsi="Times New Roman" w:cs="Times New Roman"/>
          <w:sz w:val="24"/>
          <w:lang w:val="en-US" w:eastAsia="zh-CN"/>
        </w:rPr>
        <w:t>丰水期</w:t>
      </w:r>
      <w:r>
        <w:rPr>
          <w:rFonts w:hint="default" w:ascii="Times New Roman" w:hAnsi="Times New Roman" w:cs="Times New Roman"/>
          <w:sz w:val="24"/>
        </w:rPr>
        <w:t>（202</w:t>
      </w:r>
      <w:r>
        <w:rPr>
          <w:rFonts w:hint="eastAsia" w:ascii="Times New Roman" w:hAnsi="Times New Roman" w:cs="Times New Roman"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</w:rPr>
        <w:t>.</w:t>
      </w:r>
      <w:r>
        <w:rPr>
          <w:rFonts w:hint="default" w:ascii="Times New Roman" w:hAnsi="Times New Roman" w:cs="Times New Roman"/>
          <w:sz w:val="24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、2023.8</w:t>
      </w:r>
      <w:r>
        <w:rPr>
          <w:rFonts w:hint="default" w:ascii="Times New Roman" w:hAnsi="Times New Roman" w:cs="Times New Roman"/>
          <w:sz w:val="24"/>
        </w:rPr>
        <w:t>），每次连续3天，每天1次。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3.监测和分析方法：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按照环境保护部颁布的水环境监测方法标准和《地表水环境质量标准》（GB 3838-2002）中的相关规定和要求执行。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4.监测断面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工程地表水环境质量现状监测断面详见表2，位置示意图见附图。</w:t>
      </w:r>
    </w:p>
    <w:p>
      <w:pPr>
        <w:adjustRightInd w:val="0"/>
        <w:snapToGrid w:val="0"/>
        <w:spacing w:line="360" w:lineRule="auto"/>
        <w:ind w:firstLine="480"/>
        <w:jc w:val="center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表2  本工程环评地表水环境质量现状监测断面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2382"/>
        <w:gridCol w:w="2554"/>
        <w:gridCol w:w="2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369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序号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监测断面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  <w:lang w:val="en-US" w:eastAsia="zh-CN"/>
              </w:rPr>
              <w:t>经纬度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  <w:lang w:val="en-US" w:eastAsia="zh-CN"/>
              </w:rPr>
              <w:t>目的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bidi="ar"/>
              </w:rPr>
              <w:t>W1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G206桥下500m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117°11.429′E，33°3.702′N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上游本底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bidi="ar"/>
              </w:rPr>
              <w:t>W2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疏浚起点上游500m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117°27.267′E，33°10.042′N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自然保护区本底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bidi="ar"/>
              </w:rPr>
              <w:t>W3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自然保护区中间段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117°27.978′E，33°10.633′N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自然保护区疏浚中间监控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bidi="ar"/>
              </w:rPr>
              <w:t>W4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保护区下游500m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117°32.209′E，33°9.708′N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保护区段恢复监控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bidi="ar"/>
              </w:rPr>
              <w:t>W5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浍沱引河下游500m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117°38.434′E，33°8.939′N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疏浚监控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val="en-US" w:eastAsia="zh-CN" w:bidi="ar"/>
              </w:rPr>
              <w:t>W6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疏浚下游生态红线监控点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117°44.877′E，33°7.667′N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下游生态保护红线监控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val="en-US" w:eastAsia="zh-CN" w:bidi="ar"/>
              </w:rPr>
              <w:t>W7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水产保护区上游100m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117°46.281′E，33°8.362′N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疏浚末段、水产保护区上游监控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369" w:type="pct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color w:val="000000"/>
                <w:kern w:val="0"/>
                <w:szCs w:val="21"/>
                <w:lang w:val="en-US" w:eastAsia="zh-CN" w:bidi="ar"/>
              </w:rPr>
              <w:t>W8</w:t>
            </w:r>
          </w:p>
        </w:tc>
        <w:tc>
          <w:tcPr>
            <w:tcW w:w="1397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工程末端下游500m</w:t>
            </w:r>
          </w:p>
        </w:tc>
        <w:tc>
          <w:tcPr>
            <w:tcW w:w="149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117°59.536′E，33°11.338′N</w:t>
            </w:r>
          </w:p>
        </w:tc>
        <w:tc>
          <w:tcPr>
            <w:tcW w:w="173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工程影响末端监控</w:t>
            </w:r>
          </w:p>
        </w:tc>
      </w:tr>
    </w:tbl>
    <w:p>
      <w:pPr>
        <w:pStyle w:val="2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（三）地下水环境质量现状监测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1.监测项</w:t>
      </w:r>
      <w:r>
        <w:rPr>
          <w:rFonts w:hint="default" w:ascii="Times New Roman" w:hAnsi="Times New Roman" w:cs="Times New Roman"/>
          <w:sz w:val="24"/>
        </w:rPr>
        <w:t>目：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K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+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Na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+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Ca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2+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Mg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2+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CO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bscript"/>
        </w:rPr>
        <w:t>3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2-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HCO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bscript"/>
        </w:rPr>
        <w:t>3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-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Cl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-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SO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bscript"/>
        </w:rPr>
        <w:t>4</w:t>
      </w:r>
      <w:r>
        <w:rPr>
          <w:rFonts w:hint="default" w:ascii="Times New Roman" w:hAnsi="Times New Roman" w:eastAsia="TimesNewRomanPSMT" w:cs="Times New Roman"/>
          <w:kern w:val="0"/>
          <w:sz w:val="24"/>
          <w:vertAlign w:val="superscript"/>
        </w:rPr>
        <w:t>2-</w:t>
      </w:r>
      <w:r>
        <w:rPr>
          <w:rFonts w:hint="default" w:ascii="Times New Roman" w:hAnsi="Times New Roman" w:cs="Times New Roman"/>
          <w:kern w:val="0"/>
          <w:sz w:val="24"/>
        </w:rPr>
        <w:t>、</w:t>
      </w:r>
      <w:r>
        <w:rPr>
          <w:rFonts w:hint="default" w:ascii="Times New Roman" w:hAnsi="Times New Roman" w:eastAsia="TimesNewRomanPSMT" w:cs="Times New Roman"/>
          <w:kern w:val="0"/>
          <w:sz w:val="24"/>
        </w:rPr>
        <w:t>pH</w:t>
      </w:r>
      <w:r>
        <w:rPr>
          <w:rFonts w:hint="default" w:ascii="Times New Roman" w:hAnsi="Times New Roman" w:cs="Times New Roman"/>
          <w:kern w:val="0"/>
          <w:sz w:val="24"/>
        </w:rPr>
        <w:t>、氨氮（以N计）、硝酸盐、亚硝酸盐、挥发性酚类（以苯酚计）、氰化物、砷、汞、铬（六价）、总硬度（以CaCO</w:t>
      </w:r>
      <w:r>
        <w:rPr>
          <w:rFonts w:hint="default" w:ascii="Times New Roman" w:hAnsi="Times New Roman" w:cs="Times New Roman"/>
          <w:kern w:val="0"/>
          <w:sz w:val="24"/>
          <w:vertAlign w:val="superscript"/>
        </w:rPr>
        <w:t>3</w:t>
      </w:r>
      <w:r>
        <w:rPr>
          <w:rFonts w:hint="default" w:ascii="Times New Roman" w:hAnsi="Times New Roman" w:cs="Times New Roman"/>
          <w:kern w:val="0"/>
          <w:sz w:val="24"/>
        </w:rPr>
        <w:t>计）、铅、氟化物、镉、铁、锰、溶解性总固体、硫酸盐、氯化物、耗氧量、总大肠菌群、菌落总数。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同步调查记录采样监测水井深度、结构和成井历史、功能，地下水埋深和地表高程。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2.监测频率和时间：监测1天1次。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3.监测和分析方法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监测点位和取样按照《地下水环境监测规范（HJ/T 164-2004）》和《环境影响评价技术导则－地下水环境（HJ 610-2016）》中有关规定和要求执行。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4.监测点位：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地下水环境质量现状监测点位见表3，位置示意图见附图。</w:t>
      </w:r>
    </w:p>
    <w:p>
      <w:pPr>
        <w:adjustRightInd w:val="0"/>
        <w:snapToGrid w:val="0"/>
        <w:spacing w:line="360" w:lineRule="auto"/>
        <w:ind w:firstLine="482"/>
        <w:jc w:val="center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表3  本工程环评地下水环境质量现状监测点位</w:t>
      </w:r>
    </w:p>
    <w:tbl>
      <w:tblPr>
        <w:tblStyle w:val="9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486"/>
        <w:gridCol w:w="3714"/>
        <w:gridCol w:w="23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4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序号</w:t>
            </w:r>
          </w:p>
        </w:tc>
        <w:tc>
          <w:tcPr>
            <w:tcW w:w="872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监测点位</w:t>
            </w:r>
          </w:p>
        </w:tc>
        <w:tc>
          <w:tcPr>
            <w:tcW w:w="2179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  <w:lang w:val="en-US" w:eastAsia="zh-CN"/>
              </w:rPr>
              <w:t>经纬度</w:t>
            </w:r>
          </w:p>
        </w:tc>
        <w:tc>
          <w:tcPr>
            <w:tcW w:w="1393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4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GW</w:t>
            </w: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872" w:type="pct"/>
            <w:noWrap w:val="0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  <w:t>新庄村</w:t>
            </w:r>
          </w:p>
        </w:tc>
        <w:tc>
          <w:tcPr>
            <w:tcW w:w="2179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117°28.279′E，33°10.757′N</w:t>
            </w:r>
          </w:p>
        </w:tc>
        <w:tc>
          <w:tcPr>
            <w:tcW w:w="1393" w:type="pct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监测水质、水位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4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GW</w:t>
            </w: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872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  <w:lang w:val="en-US" w:eastAsia="zh-CN"/>
              </w:rPr>
              <w:t>高钱吴</w:t>
            </w:r>
          </w:p>
        </w:tc>
        <w:tc>
          <w:tcPr>
            <w:tcW w:w="2179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117°30.152′E，33°9.886′N</w:t>
            </w:r>
          </w:p>
        </w:tc>
        <w:tc>
          <w:tcPr>
            <w:tcW w:w="1393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4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GW3</w:t>
            </w:r>
          </w:p>
        </w:tc>
        <w:tc>
          <w:tcPr>
            <w:tcW w:w="872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kern w:val="0"/>
                <w:szCs w:val="21"/>
                <w:lang w:val="en-US" w:eastAsia="zh-CN"/>
              </w:rPr>
              <w:t>下黄村</w:t>
            </w:r>
          </w:p>
        </w:tc>
        <w:tc>
          <w:tcPr>
            <w:tcW w:w="2179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117°43.157′E，33°8.186′N</w:t>
            </w:r>
          </w:p>
        </w:tc>
        <w:tc>
          <w:tcPr>
            <w:tcW w:w="1393" w:type="pct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pStyle w:val="2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四）声环境质量现状监测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1.监测</w:t>
      </w:r>
      <w:r>
        <w:rPr>
          <w:rFonts w:hint="default" w:ascii="Times New Roman" w:hAnsi="Times New Roman" w:cs="Times New Roman"/>
          <w:sz w:val="24"/>
        </w:rPr>
        <w:t>项目：等效连续A声级（dB(A)）。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2.监测时间和频率：连续两天，每天昼夜各一次。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3.监测及分析方法：测量方法按照环境保护部颁布的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"http://jcs.mep.gov.cn/jcgl/bz/200603/t20060329_75248.htm" \t "_blank"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sz w:val="24"/>
        </w:rPr>
        <w:t>噪声监测方法标准</w:t>
      </w:r>
      <w:r>
        <w:rPr>
          <w:rFonts w:hint="default" w:ascii="Times New Roman" w:hAnsi="Times New Roman" w:cs="Times New Roman"/>
          <w:sz w:val="24"/>
        </w:rPr>
        <w:fldChar w:fldCharType="end"/>
      </w:r>
      <w:r>
        <w:rPr>
          <w:rFonts w:hint="default" w:ascii="Times New Roman" w:hAnsi="Times New Roman" w:cs="Times New Roman"/>
          <w:sz w:val="24"/>
        </w:rPr>
        <w:t>和《声环境质量标准》（GB 3096-2008）中有关规定和要求执行。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4.监测点位：</w: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声环境质量监测点位见表4，位置示意图见附图。</w:t>
      </w:r>
    </w:p>
    <w:p>
      <w:pPr>
        <w:adjustRightInd w:val="0"/>
        <w:snapToGrid w:val="0"/>
        <w:ind w:firstLine="482"/>
        <w:jc w:val="center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表4  本工程环评声环境质量现状监测点位</w:t>
      </w:r>
    </w:p>
    <w:tbl>
      <w:tblPr>
        <w:tblStyle w:val="9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3"/>
        <w:gridCol w:w="1816"/>
        <w:gridCol w:w="4519"/>
        <w:gridCol w:w="1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序号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监测点位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  <w:lang w:val="en-US" w:eastAsia="zh-CN"/>
              </w:rPr>
              <w:t>经纬度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1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前瓦房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117°12.054′E，33°5.176′N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2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新庄村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117°28.279′E，33°10.757′N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3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陈家渡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117°29.083′E，33°10.039′N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4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高钱吴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117°30.152′E，33°9.886′N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lang w:bidi="ar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5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东李小学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117°32.447′E，33°10.073′N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lang w:bidi="ar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6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前高庄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117°35.565′E，33°10.279′N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lang w:bidi="ar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7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潘圩小学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117°43.757′E，33°6.305′N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lang w:bidi="ar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8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聂浅村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117°55.515′E，33°11.300′N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lang w:bidi="ar"/>
              </w:rPr>
              <w:t>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1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</w:rPr>
              <w:t>N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9</w:t>
            </w:r>
          </w:p>
        </w:tc>
        <w:tc>
          <w:tcPr>
            <w:tcW w:w="1065" w:type="pct"/>
            <w:noWrap w:val="0"/>
            <w:vAlign w:val="center"/>
          </w:tcPr>
          <w:p>
            <w:pPr>
              <w:pStyle w:val="16"/>
              <w:rPr>
                <w:rFonts w:hint="default" w:ascii="Times New Roman" w:hAnsi="Times New Roman" w:eastAsia="宋体" w:cs="Times New Roman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lang w:val="en-US" w:eastAsia="zh-CN" w:bidi="ar"/>
              </w:rPr>
              <w:t>刘台子</w:t>
            </w:r>
          </w:p>
        </w:tc>
        <w:tc>
          <w:tcPr>
            <w:tcW w:w="265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117°57.360′E，33°11.508′N</w:t>
            </w:r>
          </w:p>
        </w:tc>
        <w:tc>
          <w:tcPr>
            <w:tcW w:w="641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bidi="ar"/>
              </w:rPr>
            </w:pPr>
            <w:r>
              <w:rPr>
                <w:rFonts w:hint="default" w:ascii="Times New Roman" w:hAnsi="Times New Roman" w:cs="Times New Roman"/>
                <w:lang w:bidi="ar"/>
              </w:rPr>
              <w:t>1类</w:t>
            </w:r>
          </w:p>
        </w:tc>
      </w:tr>
    </w:tbl>
    <w:p>
      <w:pPr>
        <w:pStyle w:val="2"/>
        <w:rPr>
          <w:rFonts w:hint="default" w:ascii="Times New Roman" w:hAnsi="Times New Roman" w:cs="Times New Roman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（五）土壤环境质量现状监测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1.监</w:t>
      </w:r>
      <w:r>
        <w:rPr>
          <w:rFonts w:hint="default" w:ascii="Times New Roman" w:hAnsi="Times New Roman" w:cs="Times New Roman"/>
          <w:sz w:val="24"/>
        </w:rPr>
        <w:t>测项目：pH、铜、镉、汞、砷、铅、铬、锌、镍、六六六、滴滴涕、苯并（a）芘。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2.监测频率和时间：每点取1次样品取土点。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3.监测及分析方法：按照国家环保总局颁布的环境监测分析方法有关规定和《土壤环境质量 农用地土壤污染风险管控标准》）（GB15618-2018）的要求执行。</w:t>
      </w:r>
    </w:p>
    <w:p>
      <w:pPr>
        <w:adjustRightInd w:val="0"/>
        <w:snapToGrid w:val="0"/>
        <w:spacing w:line="360" w:lineRule="auto"/>
        <w:ind w:firstLine="482"/>
        <w:jc w:val="left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4.监测点位：工程环评土壤环境质量现状监测点位，位置示意图见附图。</w:t>
      </w:r>
    </w:p>
    <w:p>
      <w:pPr>
        <w:adjustRightInd w:val="0"/>
        <w:snapToGrid w:val="0"/>
        <w:ind w:firstLine="482"/>
        <w:jc w:val="center"/>
        <w:rPr>
          <w:rFonts w:hint="default" w:ascii="Times New Roman" w:hAnsi="Times New Roman" w:cs="Times New Roman"/>
          <w:b/>
          <w:sz w:val="24"/>
        </w:rPr>
      </w:pPr>
      <w:r>
        <w:rPr>
          <w:rFonts w:hint="default" w:ascii="Times New Roman" w:hAnsi="Times New Roman" w:cs="Times New Roman"/>
          <w:b/>
          <w:sz w:val="24"/>
        </w:rPr>
        <w:t>表5  本工程环评土壤环境质量现状监测点位</w:t>
      </w:r>
    </w:p>
    <w:tbl>
      <w:tblPr>
        <w:tblStyle w:val="9"/>
        <w:tblW w:w="499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3508"/>
        <w:gridCol w:w="3383"/>
        <w:gridCol w:w="8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序号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监测点位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  <w:lang w:val="en-US" w:eastAsia="zh-CN"/>
              </w:rPr>
              <w:t>经纬度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方位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疏浚起点上游500m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117°27.267′E，33°10.042′N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河道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自然保护区疏浚中间监控点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117°29.978′E，33°10.633′N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河道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2#排泥场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117°28.472′E，33°10.804′N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左岸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</w:t>
            </w:r>
            <w:r>
              <w:rPr>
                <w:rFonts w:hint="default" w:ascii="Times New Roman" w:hAnsi="Times New Roman" w:cs="Times New Roman"/>
              </w:rPr>
              <w:t>4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6#排泥场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117°30.540′E，33°9.849′N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右岸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S5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浍沱引河下游500m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117°38.484′E，33°8.939′N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河道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S6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疏浚下游生态红线监控点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117°44.877′E，33°7.667′N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河道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S7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18#排泥场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117°36.709′E，33°8.033′N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右岸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S8</w:t>
            </w:r>
          </w:p>
        </w:tc>
        <w:tc>
          <w:tcPr>
            <w:tcW w:w="205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19#排泥场</w:t>
            </w:r>
          </w:p>
        </w:tc>
        <w:tc>
          <w:tcPr>
            <w:tcW w:w="1985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lang w:val="en-US" w:eastAsia="zh-CN"/>
              </w:rPr>
              <w:t>117°38.739′E，33°9.802′N</w:t>
            </w:r>
          </w:p>
        </w:tc>
        <w:tc>
          <w:tcPr>
            <w:tcW w:w="478" w:type="pct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左岸</w:t>
            </w:r>
          </w:p>
        </w:tc>
      </w:tr>
    </w:tbl>
    <w:p>
      <w:pPr>
        <w:spacing w:line="360" w:lineRule="auto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20" w:firstLineChars="175"/>
        <w:rPr>
          <w:rFonts w:hint="default" w:ascii="Times New Roman" w:hAnsi="Times New Roman" w:cs="Times New Roman"/>
          <w:sz w:val="24"/>
        </w:rPr>
        <w:sectPr>
          <w:footerReference r:id="rId3" w:type="default"/>
          <w:pgSz w:w="11907" w:h="16839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 w:ascii="Times New Roman" w:hAnsi="Times New Roman" w:cs="Times New Roman"/>
          <w:sz w:val="24"/>
        </w:rPr>
        <w:t>监测单位提供各指标监测所采用的分析方法、分析时间和方法检出限值以及每个监测点位（断面）的经纬度（或者地理坐标）。</w:t>
      </w:r>
    </w:p>
    <w:p>
      <w:pPr>
        <w:spacing w:line="360" w:lineRule="auto"/>
        <w:rPr>
          <w:rFonts w:hint="default" w:ascii="Times New Roman" w:hAnsi="Times New Roman" w:cs="Times New Roman" w:eastAsiaTheme="minorEastAsia"/>
          <w:sz w:val="24"/>
          <w:lang w:eastAsia="zh-CN"/>
        </w:rPr>
      </w:pPr>
      <w:r>
        <w:rPr>
          <w:rFonts w:hint="default" w:ascii="Times New Roman" w:hAnsi="Times New Roman" w:cs="Times New Roman" w:eastAsiaTheme="minorEastAsia"/>
          <w:sz w:val="24"/>
          <w:lang w:eastAsia="zh-CN"/>
        </w:rPr>
        <w:drawing>
          <wp:inline distT="0" distB="0" distL="114300" distR="114300">
            <wp:extent cx="8857615" cy="4939665"/>
            <wp:effectExtent l="0" t="0" r="635" b="13335"/>
            <wp:docPr id="1" name="图片 1" descr="怀洪新河现状监测点位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怀洪新河现状监测点位图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</w:rPr>
        <w:t>附图  环境质量现状监测布点图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MS Gothic"/>
    <w:panose1 w:val="00000000000000000000"/>
    <w:charset w:val="80"/>
    <w:family w:val="auto"/>
    <w:pitch w:val="default"/>
    <w:sig w:usb0="00000000" w:usb1="00000000" w:usb2="00000010" w:usb3="00000000" w:csb0="000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FmZGI2ZWMxNzRiMTVmNDg1NjE5OTU4ODkxZjdmOGIifQ=="/>
  </w:docVars>
  <w:rsids>
    <w:rsidRoot w:val="00360082"/>
    <w:rsid w:val="00096487"/>
    <w:rsid w:val="000A6913"/>
    <w:rsid w:val="00360082"/>
    <w:rsid w:val="00377827"/>
    <w:rsid w:val="003B2DE8"/>
    <w:rsid w:val="003C5F5E"/>
    <w:rsid w:val="004362BB"/>
    <w:rsid w:val="0045335B"/>
    <w:rsid w:val="005601AB"/>
    <w:rsid w:val="005C20C8"/>
    <w:rsid w:val="00614768"/>
    <w:rsid w:val="0065017E"/>
    <w:rsid w:val="006601CD"/>
    <w:rsid w:val="00677AF2"/>
    <w:rsid w:val="0069660E"/>
    <w:rsid w:val="006A06FA"/>
    <w:rsid w:val="007805F2"/>
    <w:rsid w:val="00A77668"/>
    <w:rsid w:val="00A95B20"/>
    <w:rsid w:val="00B81846"/>
    <w:rsid w:val="00E73E80"/>
    <w:rsid w:val="00F13E73"/>
    <w:rsid w:val="00F91A62"/>
    <w:rsid w:val="00FE4587"/>
    <w:rsid w:val="0AC263CF"/>
    <w:rsid w:val="0DCC1509"/>
    <w:rsid w:val="18942BF5"/>
    <w:rsid w:val="1EC7417C"/>
    <w:rsid w:val="3E451B48"/>
    <w:rsid w:val="4C122172"/>
    <w:rsid w:val="55F05CB2"/>
    <w:rsid w:val="58DD0CC9"/>
    <w:rsid w:val="5D173EBF"/>
    <w:rsid w:val="604E4079"/>
    <w:rsid w:val="606567D9"/>
    <w:rsid w:val="6B42704F"/>
    <w:rsid w:val="6C2C1EA2"/>
    <w:rsid w:val="6E992E85"/>
    <w:rsid w:val="76F56A01"/>
    <w:rsid w:val="783B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link w:val="15"/>
    <w:qFormat/>
    <w:uiPriority w:val="0"/>
    <w:pPr>
      <w:keepNext/>
      <w:tabs>
        <w:tab w:val="left" w:pos="0"/>
      </w:tabs>
      <w:adjustRightInd w:val="0"/>
      <w:snapToGrid w:val="0"/>
      <w:spacing w:before="240" w:after="240" w:line="360" w:lineRule="auto"/>
      <w:jc w:val="left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13"/>
    <w:unhideWhenUsed/>
    <w:qFormat/>
    <w:uiPriority w:val="1"/>
    <w:pPr>
      <w:spacing w:after="120"/>
    </w:pPr>
    <w:rPr>
      <w:rFonts w:ascii="Times New Roman" w:hAnsi="Times New Roman" w:eastAsia="宋体" w:cs="Times New Roman"/>
      <w:szCs w:val="24"/>
    </w:rPr>
  </w:style>
  <w:style w:type="paragraph" w:customStyle="1" w:styleId="3">
    <w:name w:val="xl27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ind w:firstLine="480"/>
      <w:jc w:val="center"/>
    </w:pPr>
    <w:rPr>
      <w:rFonts w:ascii="宋体" w:hAnsi="宋体" w:eastAsia="仿宋"/>
      <w:kern w:val="0"/>
      <w:sz w:val="28"/>
      <w:szCs w:val="28"/>
    </w:rPr>
  </w:style>
  <w:style w:type="paragraph" w:styleId="5">
    <w:name w:val="Plain Text"/>
    <w:basedOn w:val="1"/>
    <w:link w:val="14"/>
    <w:qFormat/>
    <w:uiPriority w:val="0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6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正文文本 Char"/>
    <w:basedOn w:val="10"/>
    <w:link w:val="2"/>
    <w:qFormat/>
    <w:uiPriority w:val="1"/>
    <w:rPr>
      <w:rFonts w:ascii="Times New Roman" w:hAnsi="Times New Roman" w:eastAsia="宋体" w:cs="Times New Roman"/>
      <w:szCs w:val="24"/>
    </w:rPr>
  </w:style>
  <w:style w:type="character" w:customStyle="1" w:styleId="14">
    <w:name w:val="纯文本 Char"/>
    <w:basedOn w:val="10"/>
    <w:link w:val="5"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character" w:customStyle="1" w:styleId="15">
    <w:name w:val="标题 2 Char"/>
    <w:basedOn w:val="10"/>
    <w:link w:val="4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paragraph" w:customStyle="1" w:styleId="16">
    <w:name w:val="表格文字"/>
    <w:basedOn w:val="1"/>
    <w:qFormat/>
    <w:uiPriority w:val="0"/>
    <w:pPr>
      <w:widowControl/>
      <w:jc w:val="center"/>
    </w:pPr>
    <w:rPr>
      <w:rFonts w:ascii="Times New Roman" w:hAnsi="Times New Roman" w:eastAsia="宋体" w:cs="宋体"/>
      <w:color w:val="000000"/>
      <w:kern w:val="0"/>
      <w:szCs w:val="20"/>
    </w:rPr>
  </w:style>
  <w:style w:type="character" w:customStyle="1" w:styleId="17">
    <w:name w:val="批注框文本 Char"/>
    <w:basedOn w:val="10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5468</Words>
  <Characters>6476</Characters>
  <Lines>43</Lines>
  <Paragraphs>12</Paragraphs>
  <TotalTime>4</TotalTime>
  <ScaleCrop>false</ScaleCrop>
  <LinksUpToDate>false</LinksUpToDate>
  <CharactersWithSpaces>6513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2022-08-29T02:26:00Z</dcterms:created>
  <dc:creator>user</dc:creator>
  <cp:lastModifiedBy>何雨昂</cp:lastModifiedBy>
  <cp:lastPrinted>2023-02-01T01:36:00Z</cp:lastPrinted>
  <dcterms:modified xsi:type="dcterms:W3CDTF">2023-03-02T00:39:11Z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8802481AB36A4C8FB436D9B2C93FA859</vt:lpwstr>
  </property>
</Properties>
</file>