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28"/>
          <w:szCs w:val="28"/>
        </w:rPr>
      </w:pPr>
      <w:r>
        <w:rPr>
          <w:rFonts w:hint="default" w:ascii="Times New Roman" w:hAnsi="Times New Roman" w:cs="Times New Roman"/>
          <w:b/>
          <w:sz w:val="28"/>
          <w:szCs w:val="28"/>
          <w:lang w:val="en-US" w:eastAsia="zh-CN"/>
        </w:rPr>
        <w:t>怀洪新河治理</w:t>
      </w:r>
      <w:r>
        <w:rPr>
          <w:rFonts w:hint="default" w:ascii="Times New Roman" w:hAnsi="Times New Roman" w:cs="Times New Roman"/>
          <w:b/>
          <w:sz w:val="28"/>
          <w:szCs w:val="28"/>
        </w:rPr>
        <w:t>工程环境影响报告书外委业务采购需求</w:t>
      </w:r>
    </w:p>
    <w:p>
      <w:pPr>
        <w:rPr>
          <w:rFonts w:hint="default" w:ascii="Times New Roman" w:hAnsi="Times New Roman" w:cs="Times New Roman"/>
        </w:rPr>
      </w:pPr>
    </w:p>
    <w:p>
      <w:pPr>
        <w:spacing w:line="360" w:lineRule="auto"/>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自然保护区专题报告、生态调查及配合报审</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w:t>
      </w:r>
      <w:r>
        <w:rPr>
          <w:rFonts w:hint="default" w:ascii="Times New Roman" w:hAnsi="Times New Roman" w:cs="Times New Roman"/>
          <w:sz w:val="24"/>
          <w:szCs w:val="24"/>
          <w:lang w:val="en-US" w:eastAsia="zh-CN"/>
        </w:rPr>
        <w:t>怀洪新河治理工程可行性研究</w:t>
      </w:r>
      <w:r>
        <w:rPr>
          <w:rFonts w:hint="eastAsia" w:ascii="Times New Roman" w:hAnsi="Times New Roman" w:cs="Times New Roman"/>
          <w:sz w:val="24"/>
          <w:szCs w:val="24"/>
          <w:lang w:val="en-US" w:eastAsia="zh-CN"/>
        </w:rPr>
        <w:t>报告</w:t>
      </w:r>
      <w:r>
        <w:rPr>
          <w:rFonts w:hint="default" w:ascii="Times New Roman" w:hAnsi="Times New Roman" w:cs="Times New Roman"/>
          <w:sz w:val="24"/>
          <w:szCs w:val="24"/>
          <w:lang w:val="en-US" w:eastAsia="zh-CN"/>
        </w:rPr>
        <w:t>及相关专题</w:t>
      </w:r>
      <w:r>
        <w:rPr>
          <w:rFonts w:hint="default" w:ascii="Times New Roman" w:hAnsi="Times New Roman" w:cs="Times New Roman"/>
          <w:sz w:val="24"/>
          <w:szCs w:val="24"/>
        </w:rPr>
        <w:t>项目》中标文件要求，需完成环境影响评价报告书编制及审批工作。工程内容涉及固镇两河湿地</w:t>
      </w:r>
      <w:r>
        <w:rPr>
          <w:rFonts w:hint="eastAsia" w:ascii="Times New Roman" w:hAnsi="Times New Roman" w:cs="Times New Roman"/>
          <w:sz w:val="24"/>
          <w:szCs w:val="24"/>
          <w:lang w:val="en-US" w:eastAsia="zh-CN"/>
        </w:rPr>
        <w:t>省</w:t>
      </w:r>
      <w:r>
        <w:rPr>
          <w:rFonts w:hint="default" w:ascii="Times New Roman" w:hAnsi="Times New Roman" w:cs="Times New Roman"/>
          <w:sz w:val="24"/>
          <w:szCs w:val="24"/>
        </w:rPr>
        <w:t>级自然保护区，根据现有法律法规和部门规章要求需要编制“固镇两河湿地市级自然保护区生物多样性影响评价报告”，报</w:t>
      </w:r>
      <w:r>
        <w:rPr>
          <w:rFonts w:hint="eastAsia" w:ascii="Times New Roman" w:hAnsi="Times New Roman" w:cs="Times New Roman"/>
          <w:sz w:val="24"/>
          <w:szCs w:val="24"/>
          <w:lang w:val="en-US" w:eastAsia="zh-CN"/>
        </w:rPr>
        <w:t>省林业局</w:t>
      </w:r>
      <w:r>
        <w:rPr>
          <w:rFonts w:hint="default" w:ascii="Times New Roman" w:hAnsi="Times New Roman" w:cs="Times New Roman"/>
          <w:sz w:val="24"/>
          <w:szCs w:val="24"/>
        </w:rPr>
        <w:t>审查。初步判断工程涉及自然保护区</w:t>
      </w:r>
      <w:r>
        <w:rPr>
          <w:rFonts w:hint="default" w:ascii="Times New Roman" w:hAnsi="Times New Roman" w:cs="Times New Roman"/>
          <w:sz w:val="24"/>
          <w:szCs w:val="24"/>
          <w:lang w:val="en-US" w:eastAsia="zh-CN"/>
        </w:rPr>
        <w:t>试验</w:t>
      </w:r>
      <w:r>
        <w:rPr>
          <w:rFonts w:hint="default" w:ascii="Times New Roman" w:hAnsi="Times New Roman" w:cs="Times New Roman"/>
          <w:sz w:val="24"/>
          <w:szCs w:val="24"/>
        </w:rPr>
        <w:t>区，评价内容复杂，审查通过要求高难度大，因此需专业的</w:t>
      </w:r>
      <w:r>
        <w:rPr>
          <w:rFonts w:hint="eastAsia" w:ascii="Times New Roman" w:hAnsi="Times New Roman" w:cs="Times New Roman"/>
          <w:sz w:val="24"/>
          <w:szCs w:val="24"/>
          <w:lang w:val="en-US" w:eastAsia="zh-CN"/>
        </w:rPr>
        <w:t>和有经验的</w:t>
      </w:r>
      <w:r>
        <w:rPr>
          <w:rFonts w:hint="default" w:ascii="Times New Roman" w:hAnsi="Times New Roman" w:cs="Times New Roman"/>
          <w:sz w:val="24"/>
          <w:szCs w:val="24"/>
        </w:rPr>
        <w:t>专题编制单位承担。</w:t>
      </w:r>
      <w:bookmarkStart w:id="1" w:name="_GoBack"/>
      <w:bookmarkEnd w:id="1"/>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根据有关环评文件编制要求，需开展生态环境（陆生生态和水生生态）现状调查，该工作需委托专业调查单位完成。生态调查初步方案详见附件1。</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此外，承担固镇两河湿地市级自然保护区生物多样性影响评价报告及生态调查的单位，需在环评报告书的编制及报审过程中配合我方进行资料收集、协调及报审工作。</w:t>
      </w:r>
    </w:p>
    <w:p>
      <w:pPr>
        <w:spacing w:line="360" w:lineRule="auto"/>
        <w:rPr>
          <w:rFonts w:hint="default" w:ascii="Times New Roman" w:hAnsi="Times New Roman" w:cs="Times New Roman"/>
          <w:b/>
          <w:sz w:val="24"/>
          <w:szCs w:val="28"/>
        </w:rPr>
      </w:pPr>
    </w:p>
    <w:p>
      <w:pPr>
        <w:spacing w:line="360" w:lineRule="auto"/>
        <w:outlineLvl w:val="0"/>
        <w:rPr>
          <w:rFonts w:hint="default" w:ascii="Times New Roman" w:hAnsi="Times New Roman" w:cs="Times New Roman"/>
          <w:b/>
          <w:sz w:val="24"/>
          <w:szCs w:val="28"/>
        </w:rPr>
      </w:pPr>
      <w:r>
        <w:rPr>
          <w:rFonts w:hint="default" w:ascii="Times New Roman" w:hAnsi="Times New Roman" w:cs="Times New Roman"/>
          <w:b/>
          <w:sz w:val="24"/>
          <w:szCs w:val="28"/>
        </w:rPr>
        <w:t>附件1：</w:t>
      </w:r>
    </w:p>
    <w:p>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4"/>
          <w:szCs w:val="28"/>
          <w:lang w:val="en-US" w:eastAsia="zh-CN"/>
        </w:rPr>
        <w:t>怀洪新河治理工程</w:t>
      </w:r>
      <w:r>
        <w:rPr>
          <w:rFonts w:hint="default" w:ascii="Times New Roman" w:hAnsi="Times New Roman" w:cs="Times New Roman"/>
          <w:b/>
          <w:sz w:val="24"/>
          <w:szCs w:val="28"/>
        </w:rPr>
        <w:t>环评报告书所需生态调查初步方案</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（一）水生生态</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水生态调查与评价生态现状调查与评价按</w:t>
      </w:r>
      <w:r>
        <w:rPr>
          <w:rFonts w:hint="default" w:ascii="Times New Roman" w:hAnsi="Times New Roman" w:cs="Times New Roman"/>
          <w:sz w:val="24"/>
          <w:lang w:val="en-US" w:eastAsia="zh-CN"/>
        </w:rPr>
        <w:t>一</w:t>
      </w:r>
      <w:r>
        <w:rPr>
          <w:rFonts w:hint="default" w:ascii="Times New Roman" w:hAnsi="Times New Roman" w:cs="Times New Roman"/>
          <w:sz w:val="24"/>
        </w:rPr>
        <w:t>级评价执行，具体要求详见《环境影响评价技术导则 生态影响》（HJ 19-2022）。</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1.水生态调查内容</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水生态调查包括初级生产力、浮游生物、底栖生物、鱼类资源、水生植物。</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1）初级生产力调查</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采用遥感和采用监测相结合的方法测定评价范围内水域初级生产力。</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2）浮游生物调查</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浮游生物包括浮游植物和浮游动物。浮游生物调查指标包括：</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★种类组成与分布：包括种及其类属和门类，不同水域的种类数（种/网）；</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★细胞总数：平均总数（个/m</w:t>
      </w:r>
      <w:r>
        <w:rPr>
          <w:rFonts w:hint="default" w:ascii="Times New Roman" w:hAnsi="Times New Roman" w:cs="Times New Roman"/>
          <w:sz w:val="24"/>
          <w:vertAlign w:val="superscript"/>
        </w:rPr>
        <w:t>3</w:t>
      </w:r>
      <w:r>
        <w:rPr>
          <w:rFonts w:hint="default" w:ascii="Times New Roman" w:hAnsi="Times New Roman" w:cs="Times New Roman"/>
          <w:sz w:val="24"/>
        </w:rPr>
        <w:t>）及其区域分布、季节分析；</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★生物量：单位体积水中的浮游生物总量（mg/m</w:t>
      </w:r>
      <w:r>
        <w:rPr>
          <w:rFonts w:hint="default" w:ascii="Times New Roman" w:hAnsi="Times New Roman" w:cs="Times New Roman"/>
          <w:sz w:val="24"/>
          <w:vertAlign w:val="superscript"/>
        </w:rPr>
        <w:t>3</w:t>
      </w:r>
      <w:r>
        <w:rPr>
          <w:rFonts w:hint="default" w:ascii="Times New Roman" w:hAnsi="Times New Roman" w:cs="Times New Roman"/>
          <w:sz w:val="24"/>
        </w:rPr>
        <w:t>）；</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★主要类群：按各类群的浮游生物的生态属性和区域分布特点进行划分；</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★主要优势种及其分布：细胞密度（个/m</w:t>
      </w:r>
      <w:r>
        <w:rPr>
          <w:rFonts w:hint="default" w:ascii="Times New Roman" w:hAnsi="Times New Roman" w:cs="Times New Roman"/>
          <w:sz w:val="24"/>
          <w:vertAlign w:val="superscript"/>
        </w:rPr>
        <w:t>3</w:t>
      </w:r>
      <w:r>
        <w:rPr>
          <w:rFonts w:hint="default" w:ascii="Times New Roman" w:hAnsi="Times New Roman" w:cs="Times New Roman"/>
          <w:sz w:val="24"/>
        </w:rPr>
        <w:t>）最大的种类及其分布；</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3）底栖生物调查</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调查指标包括：</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★总生物量（g/m</w:t>
      </w:r>
      <w:r>
        <w:rPr>
          <w:rFonts w:hint="default" w:ascii="Times New Roman" w:hAnsi="Times New Roman" w:cs="Times New Roman"/>
          <w:sz w:val="24"/>
          <w:vertAlign w:val="superscript"/>
        </w:rPr>
        <w:t>2</w:t>
      </w:r>
      <w:r>
        <w:rPr>
          <w:rFonts w:hint="default" w:ascii="Times New Roman" w:hAnsi="Times New Roman" w:cs="Times New Roman"/>
          <w:sz w:val="24"/>
        </w:rPr>
        <w:t>）和密度（个/m</w:t>
      </w:r>
      <w:r>
        <w:rPr>
          <w:rFonts w:hint="default" w:ascii="Times New Roman" w:hAnsi="Times New Roman" w:cs="Times New Roman"/>
          <w:sz w:val="24"/>
          <w:vertAlign w:val="superscript"/>
        </w:rPr>
        <w:t>3</w:t>
      </w:r>
      <w:r>
        <w:rPr>
          <w:rFonts w:hint="default" w:ascii="Times New Roman" w:hAnsi="Times New Roman" w:cs="Times New Roman"/>
          <w:sz w:val="24"/>
        </w:rPr>
        <w:t>）；</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★种类及其生物量、密度：各种类的底栖生物及其相应的生物量、密度；</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★种类—组成—分布；</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★群落与优势种：群落组成、分布及其优势种；</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★底质：类型；</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4）鱼类调查</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调查区域分布鱼类的种属名称、分类地位、种类组成、地理分布、区系结构及其演变。鱼类的摄食、洄游、栖息特征；鱼类“三场”的分布区域、范围、繁殖规模及环境状况；珍稀保护鱼类和主要经济鱼类的生态学特点介绍。一般调查指标有：</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★种类组成与分布：区分目、科、属、种，相应的分布位置；</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★渔获密度、组成与分布：渔获密度（网/尾），相应的种类、地点；</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★渔获生物量、组成与分布：渔获生物量（g/网）及相应的种类、地点；</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★鱼类区系特征：不同温度区及其适宜鱼类种类，不同水层（上、中、底层）中分布，不同水域（静水、流水、急流）鱼类分布；</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★经济鱼和常见鱼种：种类、生产力；</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★特有鱼类：地方特有鱼类种类、生活史（食性、繁殖与产卵、洄游等）、特殊生境要求与利用，种群动态；</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★保护鱼类：列入国家和省级一、二类保护名录中的鱼类、分布、生活史、种群动态及生境条件。</w:t>
      </w:r>
    </w:p>
    <w:p>
      <w:pPr>
        <w:adjustRightInd w:val="0"/>
        <w:snapToGrid w:val="0"/>
        <w:jc w:val="center"/>
        <w:rPr>
          <w:rFonts w:hint="default" w:ascii="Times New Roman" w:hAnsi="Times New Roman" w:cs="Times New Roman"/>
          <w:b/>
          <w:bCs/>
          <w:sz w:val="24"/>
        </w:rPr>
      </w:pPr>
      <w:r>
        <w:rPr>
          <w:rFonts w:hint="default" w:ascii="Times New Roman" w:hAnsi="Times New Roman" w:cs="Times New Roman"/>
          <w:b/>
          <w:bCs/>
          <w:sz w:val="24"/>
        </w:rPr>
        <w:t>表</w:t>
      </w:r>
      <w:r>
        <w:rPr>
          <w:rFonts w:hint="eastAsia" w:ascii="Times New Roman" w:hAnsi="Times New Roman" w:cs="Times New Roman"/>
          <w:b/>
          <w:bCs/>
          <w:sz w:val="24"/>
          <w:lang w:val="en-US" w:eastAsia="zh-CN"/>
        </w:rPr>
        <w:t>1</w:t>
      </w:r>
      <w:r>
        <w:rPr>
          <w:rFonts w:hint="default" w:ascii="Times New Roman" w:hAnsi="Times New Roman" w:cs="Times New Roman"/>
          <w:b/>
          <w:bCs/>
          <w:sz w:val="24"/>
        </w:rPr>
        <w:t xml:space="preserve">  内陆水域鱼类观测内容和指标</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57"/>
        <w:gridCol w:w="453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Merge w:val="restar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鱼类物种资源调查</w:t>
            </w:r>
          </w:p>
        </w:tc>
        <w:tc>
          <w:tcPr>
            <w:tcW w:w="678"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鱼类物种多样性</w:t>
            </w:r>
          </w:p>
        </w:tc>
        <w:tc>
          <w:tcPr>
            <w:tcW w:w="2662"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种类组成和分布</w:t>
            </w:r>
          </w:p>
          <w:p>
            <w:pPr>
              <w:jc w:val="center"/>
              <w:rPr>
                <w:rFonts w:hint="default" w:ascii="Times New Roman" w:hAnsi="Times New Roman" w:cs="Times New Roman"/>
              </w:rPr>
            </w:pPr>
            <w:r>
              <w:rPr>
                <w:rFonts w:hint="default" w:ascii="Times New Roman" w:hAnsi="Times New Roman" w:cs="Times New Roman"/>
              </w:rPr>
              <w:t>鱼类生物量</w:t>
            </w:r>
          </w:p>
        </w:tc>
        <w:tc>
          <w:tcPr>
            <w:tcW w:w="1194"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渔获物调查</w:t>
            </w:r>
          </w:p>
          <w:p>
            <w:pPr>
              <w:jc w:val="center"/>
              <w:rPr>
                <w:rFonts w:hint="default" w:ascii="Times New Roman" w:hAnsi="Times New Roman" w:cs="Times New Roman"/>
              </w:rPr>
            </w:pPr>
            <w:r>
              <w:rPr>
                <w:rFonts w:hint="default" w:ascii="Times New Roman" w:hAnsi="Times New Roman" w:cs="Times New Roman"/>
              </w:rPr>
              <w:t>声呐水声学调查、标记重捕法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Merge w:val="continue"/>
            <w:shd w:val="clear" w:color="auto" w:fill="auto"/>
            <w:vAlign w:val="center"/>
          </w:tcPr>
          <w:p>
            <w:pPr>
              <w:jc w:val="center"/>
              <w:rPr>
                <w:rFonts w:hint="default" w:ascii="Times New Roman" w:hAnsi="Times New Roman" w:cs="Times New Roman"/>
              </w:rPr>
            </w:pPr>
          </w:p>
        </w:tc>
        <w:tc>
          <w:tcPr>
            <w:tcW w:w="678"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鱼类群落结构</w:t>
            </w:r>
          </w:p>
        </w:tc>
        <w:tc>
          <w:tcPr>
            <w:tcW w:w="2662"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优势物种，不同种类的重量和尾数频数分布</w:t>
            </w:r>
          </w:p>
        </w:tc>
        <w:tc>
          <w:tcPr>
            <w:tcW w:w="1194"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渔获物调查、声呐水声学调查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Merge w:val="continue"/>
            <w:shd w:val="clear" w:color="auto" w:fill="auto"/>
            <w:vAlign w:val="center"/>
          </w:tcPr>
          <w:p>
            <w:pPr>
              <w:jc w:val="center"/>
              <w:rPr>
                <w:rFonts w:hint="default" w:ascii="Times New Roman" w:hAnsi="Times New Roman" w:cs="Times New Roman"/>
              </w:rPr>
            </w:pPr>
          </w:p>
        </w:tc>
        <w:tc>
          <w:tcPr>
            <w:tcW w:w="678"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鱼类个体生物学及种群结构</w:t>
            </w:r>
          </w:p>
        </w:tc>
        <w:tc>
          <w:tcPr>
            <w:tcW w:w="2662"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食物饱满度、性腺发育等个体生物学特征，年龄组成、性比、体长和体重的频数分布、种群数量、生物量等</w:t>
            </w:r>
          </w:p>
        </w:tc>
        <w:tc>
          <w:tcPr>
            <w:tcW w:w="1194"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渔获物调查、声呐水声学调查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45" w:type="pct"/>
            <w:gridSpan w:val="2"/>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栖息地调查</w:t>
            </w:r>
          </w:p>
        </w:tc>
        <w:tc>
          <w:tcPr>
            <w:tcW w:w="2662"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水体（包括产卵场）的长、宽、深、底质类型、流（容）量、水位、流速、水温、透明度、pH值等理化性质，污染状况（污染源、污染程度）及水利工程建设、渔业等人类活动状况</w:t>
            </w:r>
          </w:p>
        </w:tc>
        <w:tc>
          <w:tcPr>
            <w:tcW w:w="1194" w:type="pct"/>
            <w:shd w:val="clear" w:color="auto" w:fill="auto"/>
            <w:vAlign w:val="center"/>
          </w:tcPr>
          <w:p>
            <w:pPr>
              <w:jc w:val="center"/>
              <w:rPr>
                <w:rFonts w:hint="default" w:ascii="Times New Roman" w:hAnsi="Times New Roman" w:cs="Times New Roman"/>
              </w:rPr>
            </w:pPr>
            <w:r>
              <w:rPr>
                <w:rFonts w:hint="default" w:ascii="Times New Roman" w:hAnsi="Times New Roman" w:cs="Times New Roman"/>
              </w:rPr>
              <w:t>资料调查和现场测量，按SL58和SL219的规定执行</w:t>
            </w:r>
          </w:p>
        </w:tc>
      </w:tr>
    </w:tbl>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渔业资源调查：不同水域天然捕捞渔获量、渔获物的种类组成、渔获物相对数量比例及相对重量比例；珍稀、特有和主要经济鱼类等主要渔获对象的种群结构。渔业生产情况调查，包括专（副）业渔民人数、渔船数、作业方式（渔具、渔法）、渔业经济产值等。</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6）水生维管束植物调查：包括种类、分布、生物量、优势种。</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7）保护物种调查：重点调查受保护的珍稀濒危物种、关键种、土著种、建群种和特有种，天然的重要经济物种，调查其类型、分布范围、保护级别、保护状况、存在问题等。</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2.资料收集</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整理本单位已有资料，搜集整理文献资料，包括安徽省等地方动植物志，农业部门提供的鱼类资源和渔业资源等资料以及公开发表的学术资料、未发表的内部资料，尽量收集工程涉及的河流、水库水生态现状资料。</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3.现状调查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（1）调查监测规范依据</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水生态现状调查按照《水域生态系统观测规范》、《河流生态调查技术方法》、《生物多样性观测技术导则 内陆水域鱼类》（HJ710.7-2014）、《生物多样性观测技术导则 淡水底栖大型无脊椎动物》（HJ710.8-2014）、《生物多样性观测技术导则 水生维管植物》（HJ710.12-2014）等</w:t>
      </w:r>
      <w:r>
        <w:rPr>
          <w:rFonts w:hint="default" w:ascii="Times New Roman" w:hAnsi="Times New Roman" w:cs="Times New Roman"/>
          <w:color w:val="000000"/>
          <w:sz w:val="24"/>
        </w:rPr>
        <w:t>生态环境部等发布的相关生态保护标准，以及其他科学的生态调查技术。</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（2）调查监测一般原则</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1）代表性：采样点所采集的样品要对整个调查水域的某项指标或多项指标有较好的代表性；</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2）要求和注意事项：在保证达到必要的精度和具有统计学意义的样本数的前提下，布设的采样点应尽量少，要兼顾技术指标和费用的投资。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（3）调查时间及频次</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期。同步进行鱼类、浮游生物、底栖动物和水生维管束植物调查。应给出采样地样方实测的生物量、物种多样性等数据，给出主要生物物种名录、受保护的野生动植物物种等调查结果。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（4）除鱼类外的监测点位</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本工程环评水生态现状监测断面与水质监测断面基本一致，另外增加</w:t>
      </w:r>
      <w:r>
        <w:rPr>
          <w:rFonts w:hint="default" w:ascii="Times New Roman" w:hAnsi="Times New Roman" w:cs="Times New Roman"/>
          <w:sz w:val="24"/>
          <w:lang w:val="en-US" w:eastAsia="zh-CN"/>
        </w:rPr>
        <w:t>浍</w:t>
      </w:r>
      <w:r>
        <w:rPr>
          <w:rFonts w:hint="default" w:ascii="Times New Roman" w:hAnsi="Times New Roman" w:cs="Times New Roman"/>
          <w:sz w:val="24"/>
        </w:rPr>
        <w:t>河1个点位调查自然保护区</w:t>
      </w:r>
      <w:r>
        <w:rPr>
          <w:rFonts w:hint="default" w:ascii="Times New Roman" w:hAnsi="Times New Roman" w:cs="Times New Roman"/>
          <w:sz w:val="24"/>
          <w:lang w:val="en-US" w:eastAsia="zh-CN"/>
        </w:rPr>
        <w:t>浍</w:t>
      </w:r>
      <w:r>
        <w:rPr>
          <w:rFonts w:hint="default" w:ascii="Times New Roman" w:hAnsi="Times New Roman" w:cs="Times New Roman"/>
          <w:sz w:val="24"/>
        </w:rPr>
        <w:t>河本底值。</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（二）陆生生态</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1.总体原则</w:t>
      </w:r>
    </w:p>
    <w:p>
      <w:pPr>
        <w:adjustRightInd w:val="0"/>
        <w:snapToGrid w:val="0"/>
        <w:spacing w:line="360" w:lineRule="auto"/>
        <w:ind w:firstLine="480"/>
        <w:jc w:val="left"/>
        <w:rPr>
          <w:rFonts w:hint="default" w:ascii="Times New Roman" w:hAnsi="Times New Roman" w:cs="Times New Roman"/>
          <w:color w:val="000000"/>
          <w:sz w:val="24"/>
        </w:rPr>
      </w:pPr>
      <w:r>
        <w:rPr>
          <w:rFonts w:hint="default" w:ascii="Times New Roman" w:hAnsi="Times New Roman" w:cs="Times New Roman"/>
          <w:color w:val="000000"/>
          <w:sz w:val="24"/>
        </w:rPr>
        <w:t>生态现状调查与评价按一级评价执行，具体要求详见《环境影响评价技术导则 生态影响》（HJ 19-2022），另外调查技术规范参照《生态环境状况评价技术规范》（HJ192-2015）、《生物多样性观测技术导则 陆生维管束植物》（HJ710.1-2014）、《生物多样性观测技术导则 陆生哺乳动物》（HJ710.3-2014）、《生物多样性观测技术导则 鸟类》（HJ710.4-2014）、《生物多样性观测技术导则 爬行动物》（HJ710.5-2014）、《生物多样性观测技术导则 两栖动物》（HJ710.6-2014）等生态环境部等发布的相关生态保护标准，以及其他科学的生态调查技术。</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2.陆生生态评价范围</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lang w:val="en-US" w:eastAsia="zh-CN"/>
        </w:rPr>
        <w:t>怀洪新河治理</w:t>
      </w:r>
      <w:r>
        <w:rPr>
          <w:rFonts w:hint="default" w:ascii="Times New Roman" w:hAnsi="Times New Roman" w:cs="Times New Roman"/>
          <w:sz w:val="24"/>
        </w:rPr>
        <w:t>工程两侧1km范围内的区域及固镇两河湿地市级自然保护区规划范围</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重点调查典型区域和自然保护区</w:t>
      </w:r>
      <w:r>
        <w:rPr>
          <w:rFonts w:hint="default" w:ascii="Times New Roman" w:hAnsi="Times New Roman" w:cs="Times New Roman"/>
          <w:sz w:val="24"/>
        </w:rPr>
        <w:t>。</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3.调查内容</w:t>
      </w:r>
    </w:p>
    <w:p>
      <w:pPr>
        <w:adjustRightInd w:val="0"/>
        <w:snapToGrid w:val="0"/>
        <w:spacing w:line="360" w:lineRule="auto"/>
        <w:ind w:firstLine="480"/>
        <w:jc w:val="left"/>
        <w:rPr>
          <w:rFonts w:hint="default" w:ascii="Times New Roman" w:hAnsi="Times New Roman" w:cs="Times New Roman"/>
          <w:color w:val="000000"/>
          <w:sz w:val="24"/>
        </w:rPr>
      </w:pPr>
      <w:r>
        <w:rPr>
          <w:rFonts w:hint="default" w:ascii="Times New Roman" w:hAnsi="Times New Roman" w:cs="Times New Roman"/>
          <w:color w:val="000000"/>
          <w:sz w:val="24"/>
        </w:rPr>
        <w:t>生态环境现状调查是进行生态环境影响评价的基础性工作，调查的主要内容和指标应满足陆生生态系统结构与功能分析的要求，本次调查包含2个部分的内容，一是自然生态系统（包括植被和动物），二是农田生态系统。植被调查根据有关资源专题图等提供的信息，在初步分析的基础上，以现场踏勘和样方调查(按照中国生态系统研究网络观察与分析标准方法《陆地生物群落调查观察与分析》)相结合的方式进行。本评价确定的主要调查内容见表</w:t>
      </w:r>
      <w:r>
        <w:rPr>
          <w:rFonts w:hint="eastAsia" w:ascii="Times New Roman" w:hAnsi="Times New Roman" w:cs="Times New Roman"/>
          <w:color w:val="000000"/>
          <w:sz w:val="24"/>
          <w:lang w:val="en-US" w:eastAsia="zh-CN"/>
        </w:rPr>
        <w:t>2</w:t>
      </w:r>
      <w:r>
        <w:rPr>
          <w:rFonts w:hint="default" w:ascii="Times New Roman" w:hAnsi="Times New Roman" w:cs="Times New Roman"/>
          <w:color w:val="000000"/>
          <w:sz w:val="24"/>
        </w:rPr>
        <w:t>。</w:t>
      </w:r>
    </w:p>
    <w:p>
      <w:pPr>
        <w:adjustRightInd w:val="0"/>
        <w:snapToGrid w:val="0"/>
        <w:spacing w:line="360" w:lineRule="auto"/>
        <w:jc w:val="center"/>
        <w:rPr>
          <w:rFonts w:hint="default" w:ascii="Times New Roman" w:hAnsi="Times New Roman" w:cs="Times New Roman"/>
          <w:b/>
          <w:color w:val="000000"/>
          <w:sz w:val="24"/>
        </w:rPr>
      </w:pPr>
      <w:r>
        <w:rPr>
          <w:rFonts w:hint="default" w:ascii="Times New Roman" w:hAnsi="Times New Roman" w:cs="Times New Roman"/>
          <w:b/>
          <w:color w:val="000000"/>
          <w:sz w:val="24"/>
        </w:rPr>
        <w:t>表</w:t>
      </w:r>
      <w:r>
        <w:rPr>
          <w:rFonts w:hint="eastAsia" w:ascii="Times New Roman" w:hAnsi="Times New Roman" w:cs="Times New Roman"/>
          <w:b/>
          <w:color w:val="000000"/>
          <w:sz w:val="24"/>
          <w:lang w:val="en-US" w:eastAsia="zh-CN"/>
        </w:rPr>
        <w:t>2</w:t>
      </w:r>
      <w:r>
        <w:rPr>
          <w:rFonts w:hint="default" w:ascii="Times New Roman" w:hAnsi="Times New Roman" w:cs="Times New Roman"/>
          <w:b/>
          <w:color w:val="000000"/>
          <w:sz w:val="24"/>
        </w:rPr>
        <w:t xml:space="preserve">  生态环境现状调查的主要内容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4073"/>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调查内容</w:t>
            </w:r>
          </w:p>
        </w:tc>
        <w:tc>
          <w:tcPr>
            <w:tcW w:w="0" w:type="auto"/>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主要指标</w:t>
            </w:r>
          </w:p>
        </w:tc>
        <w:tc>
          <w:tcPr>
            <w:tcW w:w="0" w:type="auto"/>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评价作用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陆生植被与植物群落</w:t>
            </w:r>
          </w:p>
        </w:tc>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类型、分布、面积、植物种类、植物区系、多样性、生长情况、生物量、植物群落结构及演替规律，群落中关键种、建群种、优势种等。</w:t>
            </w:r>
          </w:p>
        </w:tc>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分析生态结构、类型、面积；分析生态因子相互关系，估算评价区自然系统生产力本底值，评价生态完整性现状，明确主要生态问题及保护目标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陆生动物群落</w:t>
            </w:r>
          </w:p>
        </w:tc>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动物区系、物种组成、类型、分布特征、栖息地、重要物种的分布和生态学特征、种群现状，迁徙物种的主要迁徙路线、迁徙时间，保护与利用状况，重要生境分布</w:t>
            </w:r>
          </w:p>
        </w:tc>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分析生物多样性影响，明确敏感保护目标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农田生态系统</w:t>
            </w:r>
          </w:p>
        </w:tc>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农田耕作制度：包括作物种类组成、复种指数与作物轮作体系、肥料与农药投入情况、灌溉制度。</w:t>
            </w:r>
          </w:p>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作物产量。</w:t>
            </w:r>
          </w:p>
        </w:tc>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分析农业损失状况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湿地生态系统</w:t>
            </w:r>
          </w:p>
        </w:tc>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类型、特点、基本结构与功能；湿地面积、水文、气候等自然地理特征；湿地资源利用和开发现状及保护对策</w:t>
            </w:r>
          </w:p>
        </w:tc>
        <w:tc>
          <w:tcPr>
            <w:tcW w:w="0" w:type="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分析湿地特点及主要生态问题</w:t>
            </w:r>
          </w:p>
        </w:tc>
      </w:tr>
    </w:tbl>
    <w:p>
      <w:pPr>
        <w:spacing w:line="360" w:lineRule="auto"/>
        <w:ind w:firstLine="420" w:firstLineChars="175"/>
        <w:rPr>
          <w:rFonts w:hint="default" w:ascii="Times New Roman" w:hAnsi="Times New Roman" w:cs="Times New Roman"/>
          <w:sz w:val="24"/>
        </w:rPr>
      </w:pPr>
      <w:bookmarkStart w:id="0" w:name="_Toc357114019"/>
      <w:r>
        <w:rPr>
          <w:rFonts w:hint="default" w:ascii="Times New Roman" w:hAnsi="Times New Roman" w:cs="Times New Roman"/>
          <w:sz w:val="24"/>
        </w:rPr>
        <w:t>对于自然生态系统调查，应重点调查受保护的珍稀濒危物种、关键种、土著种、建群种和特有种，天然的重要经济物种，如涉及国家级和省级保护物种、珍稀濒危物种和地方特有种时，应逐个或逐类说明其类型、分布、保护级别、保护状况等。如调查中发现名木古树，应记录其分布坐标，说明其生长情况。</w:t>
      </w:r>
    </w:p>
    <w:p>
      <w:pPr>
        <w:spacing w:line="360" w:lineRule="auto"/>
        <w:ind w:firstLine="420" w:firstLineChars="175"/>
        <w:rPr>
          <w:rFonts w:hint="default" w:ascii="Times New Roman" w:hAnsi="Times New Roman" w:cs="Times New Roman"/>
          <w:sz w:val="24"/>
        </w:rPr>
      </w:pPr>
      <w:r>
        <w:rPr>
          <w:rFonts w:hint="default" w:ascii="Times New Roman" w:hAnsi="Times New Roman" w:cs="Times New Roman"/>
          <w:sz w:val="24"/>
        </w:rPr>
        <w:t>另外，调查中应做好调查记录，保存好调查表和图像资料。</w:t>
      </w:r>
      <w:bookmarkEnd w:id="0"/>
    </w:p>
    <w:p>
      <w:pPr>
        <w:spacing w:line="360" w:lineRule="auto"/>
        <w:ind w:firstLine="420" w:firstLineChars="175"/>
        <w:rPr>
          <w:rFonts w:hint="default" w:ascii="Times New Roman" w:hAnsi="Times New Roman" w:cs="Times New Roman"/>
          <w:sz w:val="24"/>
        </w:rPr>
      </w:pPr>
      <w:r>
        <w:rPr>
          <w:rFonts w:hint="default" w:ascii="Times New Roman" w:hAnsi="Times New Roman" w:cs="Times New Roman"/>
          <w:sz w:val="24"/>
        </w:rPr>
        <w:t>根据调查结果，绘制土地利用现状图、植被类型图、植被覆盖度空间分布图、生态系统类型图、生态保护目标空间分布图等，满足生态导则一级评价附录D制图与成图精确要求。</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4.调查时间</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default" w:ascii="Times New Roman" w:hAnsi="Times New Roman" w:cs="Times New Roman"/>
          <w:sz w:val="24"/>
          <w:lang w:val="en-US" w:eastAsia="zh-CN"/>
        </w:rPr>
        <w:t>3</w:t>
      </w:r>
      <w:r>
        <w:rPr>
          <w:rFonts w:hint="default" w:ascii="Times New Roman" w:hAnsi="Times New Roman" w:cs="Times New Roman"/>
          <w:sz w:val="24"/>
        </w:rPr>
        <w:t>月、2023年</w:t>
      </w:r>
      <w:r>
        <w:rPr>
          <w:rFonts w:hint="default" w:ascii="Times New Roman" w:hAnsi="Times New Roman" w:cs="Times New Roman"/>
          <w:sz w:val="24"/>
          <w:lang w:val="en-US" w:eastAsia="zh-CN"/>
        </w:rPr>
        <w:t>5</w:t>
      </w:r>
      <w:r>
        <w:rPr>
          <w:rFonts w:hint="default" w:ascii="Times New Roman" w:hAnsi="Times New Roman" w:cs="Times New Roman"/>
          <w:sz w:val="24"/>
        </w:rPr>
        <w:t>、</w:t>
      </w:r>
      <w:r>
        <w:rPr>
          <w:rFonts w:hint="default" w:ascii="Times New Roman" w:hAnsi="Times New Roman" w:cs="Times New Roman"/>
          <w:sz w:val="24"/>
          <w:lang w:val="en-US" w:eastAsia="zh-CN"/>
        </w:rPr>
        <w:t>8</w:t>
      </w:r>
      <w:r>
        <w:rPr>
          <w:rFonts w:hint="default" w:ascii="Times New Roman" w:hAnsi="Times New Roman" w:cs="Times New Roman"/>
          <w:sz w:val="24"/>
        </w:rPr>
        <w:t>、</w:t>
      </w:r>
      <w:r>
        <w:rPr>
          <w:rFonts w:hint="default" w:ascii="Times New Roman" w:hAnsi="Times New Roman" w:cs="Times New Roman"/>
          <w:sz w:val="24"/>
          <w:lang w:val="en-US" w:eastAsia="zh-CN"/>
        </w:rPr>
        <w:t>10</w:t>
      </w:r>
      <w:r>
        <w:rPr>
          <w:rFonts w:hint="default" w:ascii="Times New Roman" w:hAnsi="Times New Roman" w:cs="Times New Roman"/>
          <w:sz w:val="24"/>
        </w:rPr>
        <w:t>月。</w:t>
      </w:r>
    </w:p>
    <w:p>
      <w:pPr>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5.监测点位</w:t>
      </w:r>
    </w:p>
    <w:p>
      <w:pPr>
        <w:pStyle w:val="5"/>
        <w:spacing w:before="0" w:beforeAutospacing="0" w:after="0" w:afterAutospacing="0" w:line="240" w:lineRule="auto"/>
        <w:ind w:firstLine="482"/>
        <w:jc w:val="center"/>
        <w:rPr>
          <w:rFonts w:hint="default" w:ascii="Times New Roman" w:hAnsi="Times New Roman" w:cs="Times New Roman"/>
          <w:b/>
          <w:color w:val="000000"/>
        </w:rPr>
      </w:pPr>
      <w:r>
        <w:rPr>
          <w:rFonts w:hint="default" w:ascii="Times New Roman" w:hAnsi="Times New Roman" w:cs="Times New Roman"/>
          <w:b/>
          <w:color w:val="000000"/>
        </w:rPr>
        <w:t>表</w:t>
      </w:r>
      <w:r>
        <w:rPr>
          <w:rFonts w:hint="eastAsia" w:ascii="Times New Roman" w:hAnsi="Times New Roman" w:cs="Times New Roman"/>
          <w:b/>
          <w:color w:val="000000"/>
          <w:lang w:val="en-US" w:eastAsia="zh-CN"/>
        </w:rPr>
        <w:t>3</w:t>
      </w:r>
      <w:r>
        <w:rPr>
          <w:rFonts w:hint="default" w:ascii="Times New Roman" w:hAnsi="Times New Roman" w:cs="Times New Roman"/>
          <w:b/>
          <w:color w:val="000000"/>
        </w:rPr>
        <w:t xml:space="preserve">  陆生植物和陆生野生动物调查内容</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967"/>
        <w:gridCol w:w="1694"/>
        <w:gridCol w:w="1267"/>
        <w:gridCol w:w="106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1158" w:type="pct"/>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位置</w:t>
            </w:r>
          </w:p>
        </w:tc>
        <w:tc>
          <w:tcPr>
            <w:tcW w:w="99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群落</w:t>
            </w:r>
          </w:p>
        </w:tc>
        <w:tc>
          <w:tcPr>
            <w:tcW w:w="74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样方面积</w:t>
            </w:r>
          </w:p>
        </w:tc>
        <w:tc>
          <w:tcPr>
            <w:tcW w:w="62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样方个数</w:t>
            </w:r>
          </w:p>
        </w:tc>
        <w:tc>
          <w:tcPr>
            <w:tcW w:w="983"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样线数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85"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TE1</w:t>
            </w:r>
          </w:p>
        </w:tc>
        <w:tc>
          <w:tcPr>
            <w:tcW w:w="1158" w:type="pct"/>
            <w:vAlign w:val="center"/>
          </w:tcPr>
          <w:p>
            <w:pPr>
              <w:widowControl/>
              <w:jc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土料厂</w:t>
            </w:r>
          </w:p>
        </w:tc>
        <w:tc>
          <w:tcPr>
            <w:tcW w:w="99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旱地</w:t>
            </w:r>
          </w:p>
        </w:tc>
        <w:tc>
          <w:tcPr>
            <w:tcW w:w="74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1m*1m</w:t>
            </w:r>
          </w:p>
        </w:tc>
        <w:tc>
          <w:tcPr>
            <w:tcW w:w="62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5个</w:t>
            </w:r>
          </w:p>
        </w:tc>
        <w:tc>
          <w:tcPr>
            <w:tcW w:w="983" w:type="pct"/>
            <w:vMerge w:val="restar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TE2</w:t>
            </w:r>
          </w:p>
        </w:tc>
        <w:tc>
          <w:tcPr>
            <w:tcW w:w="1158" w:type="pct"/>
            <w:vAlign w:val="center"/>
          </w:tcPr>
          <w:p>
            <w:pPr>
              <w:widowControl/>
              <w:jc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大杨家以北500m</w:t>
            </w:r>
          </w:p>
        </w:tc>
        <w:tc>
          <w:tcPr>
            <w:tcW w:w="997" w:type="pct"/>
            <w:shd w:val="clear" w:color="auto" w:fill="auto"/>
            <w:vAlign w:val="center"/>
          </w:tcPr>
          <w:p>
            <w:pPr>
              <w:widowControl/>
              <w:jc w:val="center"/>
              <w:rPr>
                <w:rFonts w:hint="default" w:ascii="Times New Roman" w:hAnsi="Times New Roman" w:cs="Times New Roman" w:eastAsiaTheme="minorEastAsia"/>
                <w:color w:val="000000"/>
                <w:kern w:val="0"/>
                <w:szCs w:val="21"/>
                <w:lang w:eastAsia="zh-CN"/>
              </w:rPr>
            </w:pPr>
            <w:r>
              <w:rPr>
                <w:rFonts w:hint="default" w:ascii="Times New Roman" w:hAnsi="Times New Roman" w:cs="Times New Roman"/>
                <w:color w:val="000000"/>
                <w:kern w:val="0"/>
                <w:szCs w:val="21"/>
                <w:lang w:val="en-US" w:eastAsia="zh-CN"/>
              </w:rPr>
              <w:t>护堤林</w:t>
            </w:r>
          </w:p>
        </w:tc>
        <w:tc>
          <w:tcPr>
            <w:tcW w:w="74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1m*1m</w:t>
            </w:r>
          </w:p>
        </w:tc>
        <w:tc>
          <w:tcPr>
            <w:tcW w:w="62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5个</w:t>
            </w:r>
          </w:p>
        </w:tc>
        <w:tc>
          <w:tcPr>
            <w:tcW w:w="983" w:type="pct"/>
            <w:vMerge w:val="continue"/>
            <w:shd w:val="clear" w:color="auto" w:fill="auto"/>
            <w:vAlign w:val="center"/>
          </w:tcPr>
          <w:p>
            <w:pPr>
              <w:pStyle w:val="2"/>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85"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TE3</w:t>
            </w:r>
          </w:p>
        </w:tc>
        <w:tc>
          <w:tcPr>
            <w:tcW w:w="1158" w:type="pct"/>
            <w:vAlign w:val="center"/>
          </w:tcPr>
          <w:p>
            <w:pPr>
              <w:widowControl/>
              <w:jc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2#排泥场</w:t>
            </w:r>
          </w:p>
        </w:tc>
        <w:tc>
          <w:tcPr>
            <w:tcW w:w="997" w:type="pct"/>
            <w:shd w:val="clear" w:color="auto" w:fill="auto"/>
            <w:vAlign w:val="center"/>
          </w:tcPr>
          <w:p>
            <w:pPr>
              <w:widowControl/>
              <w:jc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水塘</w:t>
            </w:r>
          </w:p>
        </w:tc>
        <w:tc>
          <w:tcPr>
            <w:tcW w:w="74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1m*1m</w:t>
            </w:r>
          </w:p>
        </w:tc>
        <w:tc>
          <w:tcPr>
            <w:tcW w:w="62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5个</w:t>
            </w:r>
          </w:p>
        </w:tc>
        <w:tc>
          <w:tcPr>
            <w:tcW w:w="983" w:type="pct"/>
            <w:vMerge w:val="continue"/>
            <w:shd w:val="clear" w:color="auto" w:fill="auto"/>
            <w:vAlign w:val="center"/>
          </w:tcPr>
          <w:p>
            <w:pPr>
              <w:pStyle w:val="2"/>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TE4</w:t>
            </w:r>
          </w:p>
        </w:tc>
        <w:tc>
          <w:tcPr>
            <w:tcW w:w="1158" w:type="pct"/>
            <w:vAlign w:val="center"/>
          </w:tcPr>
          <w:p>
            <w:pPr>
              <w:widowControl/>
              <w:jc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19#排泥场</w:t>
            </w:r>
          </w:p>
        </w:tc>
        <w:tc>
          <w:tcPr>
            <w:tcW w:w="997" w:type="pct"/>
            <w:shd w:val="clear" w:color="auto" w:fill="auto"/>
            <w:vAlign w:val="center"/>
          </w:tcPr>
          <w:p>
            <w:pPr>
              <w:widowControl/>
              <w:jc w:val="center"/>
              <w:rPr>
                <w:rFonts w:hint="default" w:ascii="Times New Roman" w:hAnsi="Times New Roman" w:cs="Times New Roman" w:eastAsiaTheme="minorEastAsia"/>
                <w:color w:val="000000"/>
                <w:kern w:val="0"/>
                <w:szCs w:val="21"/>
                <w:lang w:eastAsia="zh-CN"/>
              </w:rPr>
            </w:pPr>
            <w:r>
              <w:rPr>
                <w:rFonts w:hint="default" w:ascii="Times New Roman" w:hAnsi="Times New Roman" w:cs="Times New Roman"/>
                <w:color w:val="000000"/>
                <w:kern w:val="0"/>
                <w:szCs w:val="21"/>
                <w:lang w:val="en-US" w:eastAsia="zh-CN"/>
              </w:rPr>
              <w:t>坑塘</w:t>
            </w:r>
          </w:p>
        </w:tc>
        <w:tc>
          <w:tcPr>
            <w:tcW w:w="74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1m*1m</w:t>
            </w:r>
          </w:p>
        </w:tc>
        <w:tc>
          <w:tcPr>
            <w:tcW w:w="62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5个</w:t>
            </w:r>
          </w:p>
        </w:tc>
        <w:tc>
          <w:tcPr>
            <w:tcW w:w="983" w:type="pct"/>
            <w:vMerge w:val="continue"/>
            <w:shd w:val="clear" w:color="auto" w:fill="auto"/>
            <w:vAlign w:val="center"/>
          </w:tcPr>
          <w:p>
            <w:pPr>
              <w:pStyle w:val="2"/>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TE5</w:t>
            </w:r>
          </w:p>
        </w:tc>
        <w:tc>
          <w:tcPr>
            <w:tcW w:w="1158" w:type="pct"/>
            <w:vAlign w:val="center"/>
          </w:tcPr>
          <w:p>
            <w:pPr>
              <w:widowControl/>
              <w:jc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30#排泥场</w:t>
            </w:r>
          </w:p>
        </w:tc>
        <w:tc>
          <w:tcPr>
            <w:tcW w:w="997" w:type="pct"/>
            <w:shd w:val="clear" w:color="auto" w:fill="auto"/>
            <w:vAlign w:val="center"/>
          </w:tcPr>
          <w:p>
            <w:pPr>
              <w:widowControl/>
              <w:jc w:val="center"/>
              <w:rPr>
                <w:rFonts w:hint="default" w:ascii="Times New Roman" w:hAnsi="Times New Roman" w:cs="Times New Roman" w:eastAsiaTheme="minorEastAsia"/>
                <w:color w:val="000000"/>
                <w:kern w:val="0"/>
                <w:szCs w:val="21"/>
                <w:lang w:eastAsia="zh-CN"/>
              </w:rPr>
            </w:pPr>
            <w:r>
              <w:rPr>
                <w:rFonts w:hint="default" w:ascii="Times New Roman" w:hAnsi="Times New Roman" w:cs="Times New Roman"/>
                <w:color w:val="000000"/>
                <w:kern w:val="0"/>
                <w:szCs w:val="21"/>
                <w:lang w:val="en-US" w:eastAsia="zh-CN"/>
              </w:rPr>
              <w:t>水田</w:t>
            </w:r>
          </w:p>
        </w:tc>
        <w:tc>
          <w:tcPr>
            <w:tcW w:w="74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10m*10m</w:t>
            </w:r>
          </w:p>
        </w:tc>
        <w:tc>
          <w:tcPr>
            <w:tcW w:w="627" w:type="pct"/>
            <w:shd w:val="clear" w:color="auto" w:fill="auto"/>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5个</w:t>
            </w:r>
          </w:p>
        </w:tc>
        <w:tc>
          <w:tcPr>
            <w:tcW w:w="983" w:type="pct"/>
            <w:vMerge w:val="continue"/>
            <w:shd w:val="clear" w:color="auto" w:fill="auto"/>
            <w:vAlign w:val="center"/>
          </w:tcPr>
          <w:p>
            <w:pPr>
              <w:pStyle w:val="2"/>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5" w:type="pct"/>
            <w:shd w:val="clear" w:color="auto" w:fill="auto"/>
            <w:vAlign w:val="center"/>
          </w:tcPr>
          <w:p>
            <w:pPr>
              <w:widowControl/>
              <w:jc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TE6-11</w:t>
            </w:r>
          </w:p>
        </w:tc>
        <w:tc>
          <w:tcPr>
            <w:tcW w:w="1158" w:type="pct"/>
            <w:vAlign w:val="center"/>
          </w:tcPr>
          <w:p>
            <w:pPr>
              <w:widowControl/>
              <w:jc w:val="center"/>
              <w:rPr>
                <w:rFonts w:hint="default" w:ascii="Times New Roman" w:hAnsi="Times New Roman" w:cs="Times New Roman"/>
                <w:color w:val="000000"/>
                <w:kern w:val="0"/>
                <w:szCs w:val="21"/>
                <w:lang w:val="en-US" w:eastAsia="zh-CN"/>
              </w:rPr>
            </w:pPr>
            <w:r>
              <w:rPr>
                <w:rFonts w:hint="default" w:ascii="Times New Roman" w:hAnsi="Times New Roman" w:cs="Times New Roman"/>
                <w:color w:val="000000"/>
                <w:kern w:val="0"/>
                <w:szCs w:val="21"/>
                <w:lang w:val="en-US" w:eastAsia="zh-CN"/>
              </w:rPr>
              <w:t>自然保护区</w:t>
            </w:r>
          </w:p>
        </w:tc>
        <w:tc>
          <w:tcPr>
            <w:tcW w:w="3356" w:type="pct"/>
            <w:gridSpan w:val="4"/>
            <w:shd w:val="clear" w:color="auto" w:fill="auto"/>
            <w:vAlign w:val="center"/>
          </w:tcPr>
          <w:p>
            <w:pPr>
              <w:pStyle w:val="2"/>
              <w:jc w:val="center"/>
              <w:rPr>
                <w:rFonts w:hint="default" w:ascii="Times New Roman" w:hAnsi="Times New Roman" w:cs="Times New Roman"/>
              </w:rPr>
            </w:pPr>
            <w:r>
              <w:rPr>
                <w:rFonts w:hint="default" w:ascii="Times New Roman" w:hAnsi="Times New Roman" w:cs="Times New Roman"/>
                <w:vertAlign w:val="baseline"/>
                <w:lang w:val="en-US" w:eastAsia="zh-CN"/>
              </w:rPr>
              <w:t>设置5个样地，每个样地5个样方</w:t>
            </w:r>
          </w:p>
        </w:tc>
      </w:tr>
    </w:tbl>
    <w:p>
      <w:pPr>
        <w:spacing w:line="360" w:lineRule="auto"/>
        <w:ind w:firstLine="420" w:firstLineChars="175"/>
        <w:rPr>
          <w:rFonts w:hint="default" w:ascii="Times New Roman" w:hAnsi="Times New Roman" w:cs="Times New Roman"/>
          <w:sz w:val="24"/>
        </w:rPr>
      </w:pPr>
      <w:r>
        <w:rPr>
          <w:rFonts w:hint="default" w:ascii="Times New Roman" w:hAnsi="Times New Roman" w:cs="Times New Roman"/>
          <w:sz w:val="24"/>
        </w:rPr>
        <w:t>评价范围内陆生植物群落主要包括旱地、护堤林、滩地等，本次调查在每个群落各设1个样地，共计5个植物调查样地。</w:t>
      </w:r>
    </w:p>
    <w:p>
      <w:pPr>
        <w:spacing w:line="360" w:lineRule="auto"/>
        <w:ind w:firstLine="420" w:firstLineChars="175"/>
        <w:rPr>
          <w:rFonts w:hint="default" w:ascii="Times New Roman" w:hAnsi="Times New Roman" w:cs="Times New Roman"/>
          <w:sz w:val="24"/>
        </w:rPr>
      </w:pPr>
      <w:r>
        <w:rPr>
          <w:rFonts w:hint="default" w:ascii="Times New Roman" w:hAnsi="Times New Roman" w:cs="Times New Roman"/>
          <w:sz w:val="24"/>
        </w:rPr>
        <w:t>陆生野生动物调查重点为安徽固镇两河湿地市级自然保护区规划范围，，主要生境是护堤林地、滩地、河流水域、耕地，可归纳为湿地生境和农田生境，因此在河堤沿线每种生境各设置5条样线。</w:t>
      </w:r>
    </w:p>
    <w:p>
      <w:pPr>
        <w:pStyle w:val="2"/>
        <w:jc w:val="center"/>
        <w:rPr>
          <w:rFonts w:hint="default" w:ascii="Times New Roman" w:hAnsi="Times New Roman" w:cs="Times New Roman"/>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MS Gothic"/>
    <w:panose1 w:val="00000000000000000000"/>
    <w:charset w:val="80"/>
    <w:family w:val="auto"/>
    <w:pitch w:val="default"/>
    <w:sig w:usb0="00000000" w:usb1="00000000" w:usb2="00000010" w:usb3="00000000" w:csb0="0006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ZGI2ZWMxNzRiMTVmNDg1NjE5OTU4ODkxZjdmOGIifQ=="/>
  </w:docVars>
  <w:rsids>
    <w:rsidRoot w:val="00360082"/>
    <w:rsid w:val="00096487"/>
    <w:rsid w:val="000A6913"/>
    <w:rsid w:val="00360082"/>
    <w:rsid w:val="00377827"/>
    <w:rsid w:val="003B2DE8"/>
    <w:rsid w:val="003C5F5E"/>
    <w:rsid w:val="004362BB"/>
    <w:rsid w:val="0045335B"/>
    <w:rsid w:val="005601AB"/>
    <w:rsid w:val="005C20C8"/>
    <w:rsid w:val="00614768"/>
    <w:rsid w:val="0065017E"/>
    <w:rsid w:val="006601CD"/>
    <w:rsid w:val="00677AF2"/>
    <w:rsid w:val="0069660E"/>
    <w:rsid w:val="006A06FA"/>
    <w:rsid w:val="007805F2"/>
    <w:rsid w:val="00A77668"/>
    <w:rsid w:val="00A95B20"/>
    <w:rsid w:val="00B81846"/>
    <w:rsid w:val="00E73E80"/>
    <w:rsid w:val="00F13E73"/>
    <w:rsid w:val="00F91A62"/>
    <w:rsid w:val="00FE4587"/>
    <w:rsid w:val="0DCC1509"/>
    <w:rsid w:val="18942BF5"/>
    <w:rsid w:val="1EC7417C"/>
    <w:rsid w:val="28074920"/>
    <w:rsid w:val="3E451B48"/>
    <w:rsid w:val="4C122172"/>
    <w:rsid w:val="55F05CB2"/>
    <w:rsid w:val="58DD0CC9"/>
    <w:rsid w:val="5D173EBF"/>
    <w:rsid w:val="604E4079"/>
    <w:rsid w:val="606567D9"/>
    <w:rsid w:val="6B42704F"/>
    <w:rsid w:val="6C2C1EA2"/>
    <w:rsid w:val="6E992E85"/>
    <w:rsid w:val="76F56A01"/>
    <w:rsid w:val="783B6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5"/>
    <w:qFormat/>
    <w:uiPriority w:val="0"/>
    <w:pPr>
      <w:keepNext/>
      <w:tabs>
        <w:tab w:val="left" w:pos="0"/>
      </w:tabs>
      <w:adjustRightInd w:val="0"/>
      <w:snapToGrid w:val="0"/>
      <w:spacing w:before="240" w:after="240" w:line="360" w:lineRule="auto"/>
      <w:jc w:val="left"/>
      <w:outlineLvl w:val="1"/>
    </w:pPr>
    <w:rPr>
      <w:rFonts w:ascii="Cambria" w:hAnsi="Cambria" w:eastAsia="宋体" w:cs="Times New Roman"/>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unhideWhenUsed/>
    <w:qFormat/>
    <w:uiPriority w:val="1"/>
    <w:pPr>
      <w:spacing w:after="120"/>
    </w:pPr>
    <w:rPr>
      <w:rFonts w:ascii="Times New Roman" w:hAnsi="Times New Roman" w:eastAsia="宋体" w:cs="Times New Roman"/>
      <w:szCs w:val="24"/>
    </w:rPr>
  </w:style>
  <w:style w:type="paragraph" w:customStyle="1" w:styleId="3">
    <w:name w:val="xl27"/>
    <w:basedOn w:val="1"/>
    <w:qFormat/>
    <w:uiPriority w:val="0"/>
    <w:pPr>
      <w:widowControl/>
      <w:pBdr>
        <w:bottom w:val="single" w:color="auto" w:sz="4" w:space="0"/>
      </w:pBdr>
      <w:spacing w:before="100" w:beforeAutospacing="1" w:after="100" w:afterAutospacing="1"/>
      <w:ind w:firstLine="480"/>
      <w:jc w:val="center"/>
    </w:pPr>
    <w:rPr>
      <w:rFonts w:ascii="宋体" w:hAnsi="宋体" w:eastAsia="仿宋"/>
      <w:kern w:val="0"/>
      <w:sz w:val="28"/>
      <w:szCs w:val="28"/>
    </w:rPr>
  </w:style>
  <w:style w:type="paragraph" w:styleId="5">
    <w:name w:val="Plain Text"/>
    <w:basedOn w:val="1"/>
    <w:link w:val="14"/>
    <w:qFormat/>
    <w:uiPriority w:val="0"/>
    <w:pPr>
      <w:widowControl/>
      <w:spacing w:before="100" w:beforeAutospacing="1" w:after="100" w:afterAutospacing="1" w:line="360" w:lineRule="auto"/>
      <w:ind w:firstLine="200" w:firstLineChars="200"/>
      <w:jc w:val="left"/>
    </w:pPr>
    <w:rPr>
      <w:rFonts w:ascii="宋体" w:hAnsi="宋体" w:eastAsia="宋体" w:cs="Times New Roman"/>
      <w:kern w:val="0"/>
      <w:sz w:val="24"/>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12"/>
    <w:unhideWhenUsed/>
    <w:qFormat/>
    <w:uiPriority w:val="0"/>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正文文本 Char"/>
    <w:basedOn w:val="10"/>
    <w:link w:val="2"/>
    <w:qFormat/>
    <w:uiPriority w:val="1"/>
    <w:rPr>
      <w:rFonts w:ascii="Times New Roman" w:hAnsi="Times New Roman" w:eastAsia="宋体" w:cs="Times New Roman"/>
      <w:szCs w:val="24"/>
    </w:rPr>
  </w:style>
  <w:style w:type="character" w:customStyle="1" w:styleId="14">
    <w:name w:val="纯文本 Char"/>
    <w:basedOn w:val="10"/>
    <w:link w:val="5"/>
    <w:qFormat/>
    <w:uiPriority w:val="0"/>
    <w:rPr>
      <w:rFonts w:ascii="宋体" w:hAnsi="宋体" w:eastAsia="宋体" w:cs="Times New Roman"/>
      <w:kern w:val="0"/>
      <w:sz w:val="24"/>
      <w:szCs w:val="24"/>
    </w:rPr>
  </w:style>
  <w:style w:type="character" w:customStyle="1" w:styleId="15">
    <w:name w:val="标题 2 Char"/>
    <w:basedOn w:val="10"/>
    <w:link w:val="4"/>
    <w:qFormat/>
    <w:uiPriority w:val="0"/>
    <w:rPr>
      <w:rFonts w:ascii="Cambria" w:hAnsi="Cambria" w:eastAsia="宋体" w:cs="Times New Roman"/>
      <w:b/>
      <w:bCs/>
      <w:sz w:val="32"/>
      <w:szCs w:val="32"/>
    </w:rPr>
  </w:style>
  <w:style w:type="paragraph" w:customStyle="1" w:styleId="16">
    <w:name w:val="表格文字"/>
    <w:basedOn w:val="1"/>
    <w:qFormat/>
    <w:uiPriority w:val="0"/>
    <w:pPr>
      <w:widowControl/>
      <w:jc w:val="center"/>
    </w:pPr>
    <w:rPr>
      <w:rFonts w:ascii="Times New Roman" w:hAnsi="Times New Roman" w:eastAsia="宋体" w:cs="宋体"/>
      <w:color w:val="000000"/>
      <w:kern w:val="0"/>
      <w:szCs w:val="20"/>
    </w:rPr>
  </w:style>
  <w:style w:type="character" w:customStyle="1" w:styleId="17">
    <w:name w:val="批注框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5468</Words>
  <Characters>6476</Characters>
  <Lines>43</Lines>
  <Paragraphs>12</Paragraphs>
  <TotalTime>10</TotalTime>
  <ScaleCrop>false</ScaleCrop>
  <LinksUpToDate>false</LinksUpToDate>
  <CharactersWithSpaces>6513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2022-08-29T02:26:00Z</dcterms:created>
  <dc:creator>user</dc:creator>
  <cp:lastModifiedBy>何雨昂</cp:lastModifiedBy>
  <cp:lastPrinted>2023-03-02T00:25:30Z</cp:lastPrinted>
  <dcterms:modified xsi:type="dcterms:W3CDTF">2023-03-02T00:34:33Z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8802481AB36A4C8FB436D9B2C93FA859</vt:lpwstr>
  </property>
</Properties>
</file>